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9D" w:rsidRPr="00894E35" w:rsidRDefault="00BC269D" w:rsidP="00FA67E0">
      <w:pPr>
        <w:spacing w:line="276" w:lineRule="auto"/>
        <w:ind w:left="270" w:right="270"/>
        <w:rPr>
          <w:rFonts w:ascii="Calibri" w:hAnsi="Calibri" w:cs="Calibri"/>
          <w:sz w:val="14"/>
          <w:szCs w:val="22"/>
        </w:rPr>
      </w:pPr>
      <w:bookmarkStart w:id="0" w:name="_GoBack"/>
      <w:bookmarkEnd w:id="0"/>
    </w:p>
    <w:p w:rsidR="00BC269D" w:rsidRPr="00877F9D" w:rsidRDefault="00BC269D" w:rsidP="00FA67E0">
      <w:pPr>
        <w:spacing w:line="276" w:lineRule="auto"/>
        <w:ind w:left="270" w:right="270"/>
        <w:rPr>
          <w:rFonts w:ascii="Calibri" w:hAnsi="Calibri" w:cs="Calibri"/>
          <w:sz w:val="22"/>
          <w:szCs w:val="22"/>
        </w:rPr>
      </w:pPr>
      <w:r w:rsidRPr="00877F9D">
        <w:rPr>
          <w:rFonts w:ascii="Calibri" w:hAnsi="Calibri" w:cs="Calibri"/>
          <w:sz w:val="22"/>
          <w:szCs w:val="22"/>
        </w:rPr>
        <w:t>October 28, 2010</w:t>
      </w:r>
    </w:p>
    <w:p w:rsidR="00BC269D" w:rsidRPr="00877F9D" w:rsidRDefault="00BC269D" w:rsidP="00FA67E0">
      <w:pPr>
        <w:pStyle w:val="BalloonText"/>
        <w:spacing w:line="276" w:lineRule="auto"/>
        <w:ind w:left="270" w:right="270"/>
        <w:rPr>
          <w:rFonts w:ascii="Calibri" w:hAnsi="Calibri" w:cs="Calibri"/>
          <w:sz w:val="22"/>
          <w:szCs w:val="22"/>
        </w:rPr>
      </w:pPr>
    </w:p>
    <w:p w:rsidR="00BC269D" w:rsidRDefault="00BC269D" w:rsidP="00FA67E0">
      <w:pPr>
        <w:ind w:left="270"/>
        <w:rPr>
          <w:rFonts w:ascii="Calibri" w:hAnsi="Calibri" w:cs="Calibri"/>
          <w:sz w:val="22"/>
          <w:szCs w:val="22"/>
        </w:rPr>
      </w:pPr>
      <w:r w:rsidRPr="00C17474">
        <w:rPr>
          <w:rFonts w:ascii="Calibri" w:hAnsi="Calibri" w:cs="Calibri"/>
          <w:noProof/>
          <w:sz w:val="22"/>
          <w:szCs w:val="22"/>
        </w:rPr>
        <w:t>Acacia Knolls HOA</w:t>
      </w:r>
    </w:p>
    <w:p w:rsidR="00BC269D" w:rsidRDefault="00BC269D" w:rsidP="00FA67E0">
      <w:pPr>
        <w:ind w:left="270"/>
        <w:rPr>
          <w:rFonts w:ascii="Calibri" w:hAnsi="Calibri" w:cs="Calibri"/>
          <w:sz w:val="22"/>
          <w:szCs w:val="22"/>
        </w:rPr>
      </w:pPr>
      <w:r w:rsidRPr="00C17474">
        <w:rPr>
          <w:rFonts w:ascii="Calibri" w:hAnsi="Calibri" w:cs="Calibri"/>
          <w:noProof/>
          <w:sz w:val="22"/>
          <w:szCs w:val="22"/>
        </w:rPr>
        <w:t>c/o Amber Property Management</w:t>
      </w:r>
    </w:p>
    <w:p w:rsidR="00BC269D" w:rsidRDefault="00BC269D" w:rsidP="00FA67E0">
      <w:pPr>
        <w:ind w:left="270"/>
        <w:rPr>
          <w:rFonts w:ascii="Calibri" w:hAnsi="Calibri" w:cs="Calibri"/>
          <w:sz w:val="22"/>
          <w:szCs w:val="22"/>
        </w:rPr>
      </w:pPr>
      <w:r w:rsidRPr="00C17474">
        <w:rPr>
          <w:rFonts w:ascii="Calibri" w:hAnsi="Calibri" w:cs="Calibri"/>
          <w:noProof/>
          <w:sz w:val="22"/>
          <w:szCs w:val="22"/>
        </w:rPr>
        <w:t>27285 Las Ramblas, Suite #170</w:t>
      </w:r>
    </w:p>
    <w:p w:rsidR="00BC269D" w:rsidRDefault="00BC269D" w:rsidP="00FA67E0">
      <w:pPr>
        <w:ind w:left="270"/>
        <w:rPr>
          <w:rFonts w:ascii="Calibri" w:hAnsi="Calibri" w:cs="Calibri"/>
          <w:sz w:val="22"/>
          <w:szCs w:val="22"/>
        </w:rPr>
      </w:pPr>
      <w:r w:rsidRPr="00C17474">
        <w:rPr>
          <w:rFonts w:ascii="Calibri" w:hAnsi="Calibri" w:cs="Calibri"/>
          <w:noProof/>
          <w:sz w:val="22"/>
          <w:szCs w:val="22"/>
        </w:rPr>
        <w:t>Mission Viejo, CA 92691</w:t>
      </w:r>
    </w:p>
    <w:p w:rsidR="00BC269D" w:rsidRPr="00967F16" w:rsidRDefault="00BC269D" w:rsidP="00FA67E0">
      <w:pPr>
        <w:ind w:left="270"/>
        <w:rPr>
          <w:rFonts w:ascii="Calibri" w:hAnsi="Calibri" w:cs="Calibri"/>
          <w:sz w:val="22"/>
          <w:szCs w:val="22"/>
        </w:rPr>
      </w:pPr>
    </w:p>
    <w:p w:rsidR="00BC269D" w:rsidRDefault="00BC269D" w:rsidP="00FA67E0">
      <w:pPr>
        <w:ind w:left="270"/>
        <w:rPr>
          <w:rFonts w:ascii="Calibri" w:hAnsi="Calibri" w:cs="Calibri"/>
          <w:sz w:val="22"/>
          <w:szCs w:val="22"/>
        </w:rPr>
      </w:pPr>
      <w:r w:rsidRPr="00877F9D">
        <w:rPr>
          <w:rFonts w:ascii="Calibri" w:hAnsi="Calibri" w:cs="Calibri"/>
          <w:sz w:val="22"/>
          <w:szCs w:val="22"/>
        </w:rPr>
        <w:t xml:space="preserve">Re: </w:t>
      </w:r>
      <w:r w:rsidRPr="00877F9D">
        <w:rPr>
          <w:rFonts w:ascii="Calibri" w:hAnsi="Calibri" w:cs="Calibri"/>
          <w:sz w:val="22"/>
          <w:szCs w:val="22"/>
        </w:rPr>
        <w:tab/>
        <w:t xml:space="preserve">Service ID# </w:t>
      </w:r>
      <w:r w:rsidRPr="00C17474">
        <w:rPr>
          <w:rFonts w:ascii="Calibri" w:hAnsi="Calibri" w:cs="Calibri"/>
          <w:noProof/>
          <w:sz w:val="22"/>
          <w:szCs w:val="22"/>
        </w:rPr>
        <w:t>2470187</w:t>
      </w:r>
    </w:p>
    <w:p w:rsidR="00BC269D" w:rsidRPr="00877F9D" w:rsidRDefault="00BC269D" w:rsidP="00362509">
      <w:pPr>
        <w:ind w:left="270" w:firstLine="450"/>
        <w:rPr>
          <w:rFonts w:ascii="Calibri" w:hAnsi="Calibri" w:cs="Calibri"/>
          <w:sz w:val="22"/>
          <w:szCs w:val="22"/>
        </w:rPr>
      </w:pPr>
      <w:r w:rsidRPr="00FA67E0">
        <w:rPr>
          <w:rFonts w:ascii="Calibri" w:hAnsi="Calibri" w:cs="Calibri"/>
          <w:sz w:val="22"/>
          <w:szCs w:val="22"/>
        </w:rPr>
        <w:t>Service Address</w:t>
      </w:r>
      <w:r>
        <w:rPr>
          <w:rFonts w:ascii="Calibri" w:hAnsi="Calibri" w:cs="Calibri"/>
          <w:sz w:val="22"/>
          <w:szCs w:val="22"/>
        </w:rPr>
        <w:t xml:space="preserve">: </w:t>
      </w:r>
      <w:r w:rsidRPr="00C17474">
        <w:rPr>
          <w:rFonts w:ascii="Calibri" w:hAnsi="Calibri" w:cs="Calibri"/>
          <w:noProof/>
          <w:sz w:val="22"/>
          <w:szCs w:val="22"/>
        </w:rPr>
        <w:t>24985 Silverleaf Ln Irrig</w:t>
      </w:r>
    </w:p>
    <w:p w:rsidR="00BC269D" w:rsidRPr="00F02D48" w:rsidRDefault="00BC269D" w:rsidP="00FA67E0">
      <w:pPr>
        <w:ind w:left="270"/>
        <w:rPr>
          <w:rFonts w:ascii="Calibri" w:hAnsi="Calibri" w:cs="Calibri"/>
          <w:sz w:val="28"/>
          <w:szCs w:val="28"/>
        </w:rPr>
      </w:pPr>
      <w:r w:rsidRPr="00877F9D">
        <w:rPr>
          <w:rFonts w:ascii="Calibri" w:hAnsi="Calibri" w:cs="Calibri"/>
          <w:sz w:val="22"/>
          <w:szCs w:val="22"/>
        </w:rPr>
        <w:tab/>
      </w:r>
    </w:p>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 xml:space="preserve">Dear </w:t>
      </w:r>
      <w:r w:rsidRPr="00C17474">
        <w:rPr>
          <w:rFonts w:ascii="Calibri" w:hAnsi="Calibri" w:cs="Calibri"/>
          <w:noProof/>
          <w:sz w:val="22"/>
          <w:szCs w:val="22"/>
        </w:rPr>
        <w:t>Acacia Knolls HOA</w:t>
      </w:r>
      <w:r w:rsidRPr="00877F9D">
        <w:rPr>
          <w:rFonts w:ascii="Calibri" w:hAnsi="Calibri" w:cs="Calibri"/>
          <w:sz w:val="22"/>
          <w:szCs w:val="22"/>
        </w:rPr>
        <w:t>,</w:t>
      </w:r>
    </w:p>
    <w:p w:rsidR="00BC269D" w:rsidRPr="00967F16" w:rsidRDefault="00BC269D" w:rsidP="00FA67E0">
      <w:pPr>
        <w:ind w:left="270"/>
        <w:rPr>
          <w:rFonts w:ascii="Calibri" w:hAnsi="Calibri" w:cs="Calibri"/>
          <w:sz w:val="20"/>
          <w:szCs w:val="22"/>
        </w:rPr>
      </w:pPr>
    </w:p>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 xml:space="preserve">As I’m sure you’re aware, El Toro Water District (“ETWD”) implemented a new Water Budget-Based Tiered Conservation Rate Structure (“Tiered Conservation Rate Structure”) effective July 1, 2010.  The Tiered Conservation Rate Structure provides an indoor and outdoor water budget for each customer’s meter.  Each budget is calculated based on a variety of individual factors, including </w:t>
      </w:r>
      <w:r w:rsidRPr="00877F9D">
        <w:rPr>
          <w:rFonts w:ascii="Calibri" w:hAnsi="Calibri" w:cs="Calibri"/>
          <w:sz w:val="22"/>
          <w:szCs w:val="22"/>
          <w:u w:val="single"/>
        </w:rPr>
        <w:t>occupancy</w:t>
      </w:r>
      <w:r w:rsidRPr="00877F9D">
        <w:rPr>
          <w:rFonts w:ascii="Calibri" w:hAnsi="Calibri" w:cs="Calibri"/>
          <w:sz w:val="22"/>
          <w:szCs w:val="22"/>
        </w:rPr>
        <w:t xml:space="preserve"> and </w:t>
      </w:r>
      <w:r w:rsidRPr="00877F9D">
        <w:rPr>
          <w:rFonts w:ascii="Calibri" w:hAnsi="Calibri" w:cs="Calibri"/>
          <w:sz w:val="22"/>
          <w:szCs w:val="22"/>
          <w:u w:val="single"/>
        </w:rPr>
        <w:t>irrigation area</w:t>
      </w:r>
      <w:r w:rsidRPr="00877F9D">
        <w:rPr>
          <w:rFonts w:ascii="Calibri" w:hAnsi="Calibri" w:cs="Calibri"/>
          <w:sz w:val="22"/>
          <w:szCs w:val="22"/>
        </w:rPr>
        <w:t>.  Your occupancy and irrigation area are reported in the ACCOUNT INFORMATION section of your water bill (upper right hand corner). I hope you have had an opportunity to verify these factors since inaccurate data will likely result in an inaccurate water budget.</w:t>
      </w:r>
    </w:p>
    <w:p w:rsidR="00BC269D" w:rsidRPr="00967F16" w:rsidRDefault="00BC269D" w:rsidP="00FA67E0">
      <w:pPr>
        <w:ind w:left="270"/>
        <w:rPr>
          <w:rFonts w:ascii="Calibri" w:hAnsi="Calibri" w:cs="Calibri"/>
          <w:sz w:val="20"/>
          <w:szCs w:val="22"/>
        </w:rPr>
      </w:pPr>
    </w:p>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 xml:space="preserve">The Tiered Conservation Rate Structure is comprised of four tiers of water use and ultimately, four different water rates.  To ease the transition to the tiered rate structure, the new rates being </w:t>
      </w:r>
      <w:r w:rsidRPr="00877F9D">
        <w:rPr>
          <w:rFonts w:ascii="Calibri" w:hAnsi="Calibri" w:cs="Calibri"/>
          <w:i/>
          <w:sz w:val="22"/>
          <w:szCs w:val="22"/>
          <w:u w:val="single"/>
        </w:rPr>
        <w:t>phased in</w:t>
      </w:r>
      <w:r w:rsidRPr="00877F9D">
        <w:rPr>
          <w:rFonts w:ascii="Calibri" w:hAnsi="Calibri" w:cs="Calibri"/>
          <w:sz w:val="22"/>
          <w:szCs w:val="22"/>
        </w:rPr>
        <w:t xml:space="preserve"> over several months with the first rate change becoming effective next month, as noted below.</w:t>
      </w:r>
    </w:p>
    <w:p w:rsidR="00BC269D" w:rsidRPr="00967F16" w:rsidRDefault="00BC269D" w:rsidP="00FA67E0">
      <w:pPr>
        <w:ind w:left="270"/>
        <w:rPr>
          <w:rFonts w:ascii="Calibri" w:hAnsi="Calibri" w:cs="Calibri"/>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C269D" w:rsidRPr="00877F9D" w:rsidTr="00877F9D">
        <w:tc>
          <w:tcPr>
            <w:tcW w:w="2394" w:type="dxa"/>
            <w:shd w:val="clear" w:color="auto" w:fill="D9D9D9"/>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Water Use Charge</w:t>
            </w:r>
          </w:p>
        </w:tc>
        <w:tc>
          <w:tcPr>
            <w:tcW w:w="2394" w:type="dxa"/>
            <w:shd w:val="clear" w:color="auto" w:fill="D9D9D9"/>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July 2010</w:t>
            </w:r>
          </w:p>
        </w:tc>
        <w:tc>
          <w:tcPr>
            <w:tcW w:w="2394" w:type="dxa"/>
            <w:shd w:val="clear" w:color="auto" w:fill="D9D9D9"/>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November 2010</w:t>
            </w:r>
          </w:p>
        </w:tc>
        <w:tc>
          <w:tcPr>
            <w:tcW w:w="2394" w:type="dxa"/>
            <w:shd w:val="clear" w:color="auto" w:fill="D9D9D9"/>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January 2011</w:t>
            </w:r>
          </w:p>
        </w:tc>
      </w:tr>
      <w:tr w:rsidR="00BC269D" w:rsidRPr="00877F9D" w:rsidTr="00877F9D">
        <w:tc>
          <w:tcPr>
            <w:tcW w:w="2394" w:type="dxa"/>
          </w:tcPr>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Tier I – Indoor</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$1.80</w:t>
            </w:r>
          </w:p>
        </w:tc>
        <w:tc>
          <w:tcPr>
            <w:tcW w:w="2394" w:type="dxa"/>
            <w:shd w:val="clear" w:color="auto" w:fill="F2F2F2"/>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$1.80</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$1.80</w:t>
            </w:r>
          </w:p>
        </w:tc>
      </w:tr>
      <w:tr w:rsidR="00BC269D" w:rsidRPr="00877F9D" w:rsidTr="00877F9D">
        <w:tc>
          <w:tcPr>
            <w:tcW w:w="2394" w:type="dxa"/>
          </w:tcPr>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Tier II - Outdoor</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$2.20</w:t>
            </w:r>
          </w:p>
        </w:tc>
        <w:tc>
          <w:tcPr>
            <w:tcW w:w="2394" w:type="dxa"/>
            <w:shd w:val="clear" w:color="auto" w:fill="F2F2F2"/>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$2.20</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$2.20</w:t>
            </w:r>
          </w:p>
        </w:tc>
      </w:tr>
      <w:tr w:rsidR="00BC269D" w:rsidRPr="00877F9D" w:rsidTr="00877F9D">
        <w:tc>
          <w:tcPr>
            <w:tcW w:w="2394" w:type="dxa"/>
          </w:tcPr>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Tier III - Inefficient</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$2.20</w:t>
            </w:r>
          </w:p>
        </w:tc>
        <w:tc>
          <w:tcPr>
            <w:tcW w:w="2394" w:type="dxa"/>
            <w:shd w:val="clear" w:color="auto" w:fill="F2F2F2"/>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$3.29</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$4.38</w:t>
            </w:r>
          </w:p>
        </w:tc>
      </w:tr>
      <w:tr w:rsidR="00BC269D" w:rsidRPr="00877F9D" w:rsidTr="00877F9D">
        <w:tc>
          <w:tcPr>
            <w:tcW w:w="2394" w:type="dxa"/>
          </w:tcPr>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Tier IV - Excessive</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$2.20</w:t>
            </w:r>
          </w:p>
        </w:tc>
        <w:tc>
          <w:tcPr>
            <w:tcW w:w="2394" w:type="dxa"/>
            <w:shd w:val="clear" w:color="auto" w:fill="F2F2F2"/>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$4.07</w:t>
            </w:r>
          </w:p>
        </w:tc>
        <w:tc>
          <w:tcPr>
            <w:tcW w:w="2394" w:type="dxa"/>
          </w:tcPr>
          <w:p w:rsidR="00BC269D" w:rsidRPr="00877F9D" w:rsidRDefault="00BC269D" w:rsidP="00FA67E0">
            <w:pPr>
              <w:ind w:left="270"/>
              <w:jc w:val="center"/>
              <w:rPr>
                <w:rFonts w:ascii="Calibri" w:hAnsi="Calibri" w:cs="Calibri"/>
                <w:sz w:val="22"/>
                <w:szCs w:val="22"/>
              </w:rPr>
            </w:pPr>
            <w:r w:rsidRPr="00877F9D">
              <w:rPr>
                <w:rFonts w:ascii="Calibri" w:hAnsi="Calibri" w:cs="Calibri"/>
                <w:sz w:val="22"/>
                <w:szCs w:val="22"/>
              </w:rPr>
              <w:t>$5.94</w:t>
            </w:r>
          </w:p>
        </w:tc>
      </w:tr>
    </w:tbl>
    <w:p w:rsidR="00BC269D" w:rsidRPr="00967F16" w:rsidRDefault="00BC269D" w:rsidP="00FA67E0">
      <w:pPr>
        <w:ind w:left="270"/>
        <w:rPr>
          <w:rFonts w:ascii="Calibri" w:hAnsi="Calibri" w:cs="Calibri"/>
          <w:sz w:val="20"/>
          <w:szCs w:val="22"/>
        </w:rPr>
      </w:pPr>
    </w:p>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 xml:space="preserve">Based on last month’s billings we noted that you had water use in the Tier III and/or IV rate category.  If this is a result of inaccurate occupancy or irrigation area </w:t>
      </w:r>
      <w:proofErr w:type="gramStart"/>
      <w:r w:rsidRPr="00877F9D">
        <w:rPr>
          <w:rFonts w:ascii="Calibri" w:hAnsi="Calibri" w:cs="Calibri"/>
          <w:sz w:val="22"/>
          <w:szCs w:val="22"/>
        </w:rPr>
        <w:t>data</w:t>
      </w:r>
      <w:proofErr w:type="gramEnd"/>
      <w:r w:rsidRPr="00877F9D">
        <w:rPr>
          <w:rFonts w:ascii="Calibri" w:hAnsi="Calibri" w:cs="Calibri"/>
          <w:sz w:val="22"/>
          <w:szCs w:val="22"/>
        </w:rPr>
        <w:t xml:space="preserve"> we encourage you to contact our Customer Service Department at (949) 837-0660 so that we may reflect the correct amounts.  We are also available to discuss strategies for staying within your budget and avoiding higher Tier III and IV rates.  Conservation tips and information on the new Tiered Conservation Rate Structure are available on our website at </w:t>
      </w:r>
      <w:hyperlink r:id="rId6" w:history="1">
        <w:r w:rsidRPr="00877F9D">
          <w:rPr>
            <w:rStyle w:val="Hyperlink"/>
            <w:rFonts w:ascii="Calibri" w:hAnsi="Calibri" w:cs="Calibri"/>
            <w:sz w:val="22"/>
            <w:szCs w:val="22"/>
          </w:rPr>
          <w:t>www.etwd.com</w:t>
        </w:r>
      </w:hyperlink>
      <w:r w:rsidRPr="00877F9D">
        <w:rPr>
          <w:rFonts w:ascii="Calibri" w:hAnsi="Calibri" w:cs="Calibri"/>
          <w:sz w:val="22"/>
          <w:szCs w:val="22"/>
        </w:rPr>
        <w:t xml:space="preserve"> or by calling Customer Service at the number above.  Thank you for your past and future conservation efforts.</w:t>
      </w:r>
    </w:p>
    <w:p w:rsidR="00BC269D" w:rsidRPr="00877F9D" w:rsidRDefault="00BC269D" w:rsidP="00FA67E0">
      <w:pPr>
        <w:ind w:left="270"/>
        <w:rPr>
          <w:rFonts w:ascii="Calibri" w:hAnsi="Calibri" w:cs="Calibri"/>
          <w:sz w:val="22"/>
          <w:szCs w:val="22"/>
        </w:rPr>
      </w:pPr>
    </w:p>
    <w:p w:rsidR="00BC269D" w:rsidRPr="00877F9D" w:rsidRDefault="00BC269D" w:rsidP="00FA67E0">
      <w:pPr>
        <w:ind w:left="270"/>
        <w:rPr>
          <w:rFonts w:ascii="Calibri" w:hAnsi="Calibri" w:cs="Calibri"/>
          <w:sz w:val="22"/>
          <w:szCs w:val="22"/>
        </w:rPr>
      </w:pPr>
      <w:r w:rsidRPr="00877F9D">
        <w:rPr>
          <w:rFonts w:ascii="Calibri" w:hAnsi="Calibri" w:cs="Calibri"/>
          <w:sz w:val="22"/>
          <w:szCs w:val="22"/>
        </w:rPr>
        <w:t>Sincerely,</w:t>
      </w:r>
    </w:p>
    <w:p w:rsidR="00BC269D" w:rsidRPr="00877F9D" w:rsidRDefault="00BC269D" w:rsidP="00FA67E0">
      <w:pPr>
        <w:pStyle w:val="BodyText"/>
        <w:spacing w:after="0"/>
        <w:ind w:left="270" w:right="270"/>
        <w:rPr>
          <w:rFonts w:ascii="Calibri" w:hAnsi="Calibri" w:cs="Calibri"/>
          <w:sz w:val="20"/>
          <w:szCs w:val="22"/>
        </w:rPr>
      </w:pPr>
      <w:r>
        <w:rPr>
          <w:rFonts w:ascii="Calibri" w:hAnsi="Calibri" w:cs="Calibri"/>
          <w:noProof/>
          <w:sz w:val="22"/>
          <w:szCs w:val="22"/>
          <w:lang w:eastAsia="en-US"/>
        </w:rPr>
        <w:drawing>
          <wp:inline distT="0" distB="0" distL="0" distR="0">
            <wp:extent cx="1440180" cy="480060"/>
            <wp:effectExtent l="19050" t="0" r="7620" b="0"/>
            <wp:docPr id="10" name="Picture 10"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board01"/>
                    <pic:cNvPicPr>
                      <a:picLocks noChangeAspect="1" noChangeArrowheads="1"/>
                    </pic:cNvPicPr>
                  </pic:nvPicPr>
                  <pic:blipFill>
                    <a:blip r:embed="rId7" cstate="print"/>
                    <a:srcRect/>
                    <a:stretch>
                      <a:fillRect/>
                    </a:stretch>
                  </pic:blipFill>
                  <pic:spPr bwMode="auto">
                    <a:xfrm>
                      <a:off x="0" y="0"/>
                      <a:ext cx="1440180" cy="480060"/>
                    </a:xfrm>
                    <a:prstGeom prst="rect">
                      <a:avLst/>
                    </a:prstGeom>
                    <a:noFill/>
                    <a:ln w="9525">
                      <a:noFill/>
                      <a:miter lim="800000"/>
                      <a:headEnd/>
                      <a:tailEnd/>
                    </a:ln>
                  </pic:spPr>
                </pic:pic>
              </a:graphicData>
            </a:graphic>
          </wp:inline>
        </w:drawing>
      </w:r>
    </w:p>
    <w:p w:rsidR="00BC269D" w:rsidRPr="00877F9D" w:rsidRDefault="00BC269D" w:rsidP="00FA67E0">
      <w:pPr>
        <w:pStyle w:val="BodyText"/>
        <w:spacing w:after="0"/>
        <w:ind w:left="270" w:right="270"/>
        <w:rPr>
          <w:rFonts w:ascii="Calibri" w:hAnsi="Calibri" w:cs="Calibri"/>
          <w:sz w:val="22"/>
          <w:szCs w:val="22"/>
        </w:rPr>
      </w:pPr>
      <w:r w:rsidRPr="00877F9D">
        <w:rPr>
          <w:rFonts w:ascii="Calibri" w:hAnsi="Calibri" w:cs="Calibri"/>
          <w:sz w:val="22"/>
          <w:szCs w:val="22"/>
        </w:rPr>
        <w:t>Robert R. Hill</w:t>
      </w:r>
    </w:p>
    <w:p w:rsidR="00BC269D" w:rsidRPr="00877F9D" w:rsidRDefault="00BC269D" w:rsidP="00FA67E0">
      <w:pPr>
        <w:pStyle w:val="BodyText"/>
        <w:spacing w:after="0"/>
        <w:ind w:left="270" w:right="270"/>
        <w:rPr>
          <w:rFonts w:ascii="Calibri" w:hAnsi="Calibri" w:cs="Calibri"/>
          <w:sz w:val="22"/>
          <w:szCs w:val="22"/>
        </w:rPr>
      </w:pPr>
      <w:r w:rsidRPr="00877F9D">
        <w:rPr>
          <w:rFonts w:ascii="Calibri" w:hAnsi="Calibri" w:cs="Calibri"/>
          <w:sz w:val="22"/>
          <w:szCs w:val="22"/>
        </w:rPr>
        <w:t>General Manager</w:t>
      </w:r>
    </w:p>
    <w:sectPr w:rsidR="00BC269D" w:rsidRPr="00877F9D" w:rsidSect="00BC269D">
      <w:headerReference w:type="default" r:id="rId8"/>
      <w:footerReference w:type="default" r:id="rId9"/>
      <w:headerReference w:type="first" r:id="rId10"/>
      <w:footerReference w:type="first" r:id="rId11"/>
      <w:footnotePr>
        <w:pos w:val="beneathText"/>
      </w:footnotePr>
      <w:type w:val="continuous"/>
      <w:pgSz w:w="12240" w:h="15840"/>
      <w:pgMar w:top="1267" w:right="1080" w:bottom="15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9D" w:rsidRDefault="00BC269D">
      <w:r>
        <w:separator/>
      </w:r>
    </w:p>
  </w:endnote>
  <w:endnote w:type="continuationSeparator" w:id="0">
    <w:p w:rsidR="00BC269D" w:rsidRDefault="00BC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E3" w:rsidRDefault="00EA2E51">
    <w:pPr>
      <w:pStyle w:val="Footer"/>
      <w:jc w:val="center"/>
    </w:pPr>
    <w:r>
      <w:rPr>
        <w:rFonts w:ascii="Century Gothic" w:hAnsi="Century Gothic"/>
        <w:noProof/>
        <w:color w:val="000000"/>
        <w:sz w:val="22"/>
        <w:szCs w:val="22"/>
        <w:lang w:eastAsia="en-US"/>
      </w:rPr>
      <w:pict>
        <v:shapetype id="_x0000_t32" coordsize="21600,21600" o:spt="32" o:oned="t" path="m,l21600,21600e" filled="f">
          <v:path arrowok="t" fillok="f" o:connecttype="none"/>
          <o:lock v:ext="edit" shapetype="t"/>
        </v:shapetype>
        <v:shape id="_x0000_s2050" type="#_x0000_t32" style="position:absolute;left:0;text-align:left;margin-left:26.4pt;margin-top:-.05pt;width:452.4pt;height:0;z-index:251661312" o:connectortype="straight"/>
      </w:pict>
    </w:r>
    <w:r w:rsidR="00BA4CE3">
      <w:rPr>
        <w:rFonts w:ascii="Century Gothic" w:hAnsi="Century Gothic"/>
        <w:color w:val="000000"/>
        <w:sz w:val="22"/>
        <w:szCs w:val="22"/>
      </w:rPr>
      <w:t xml:space="preserve">P.O. Box 4000 • Laguna Hills, CA 92654-4000 • Phone 949.837.0660 • Fax </w:t>
    </w:r>
    <w:proofErr w:type="gramStart"/>
    <w:r w:rsidR="00BA4CE3">
      <w:rPr>
        <w:rFonts w:ascii="Century Gothic" w:hAnsi="Century Gothic"/>
        <w:color w:val="000000"/>
        <w:sz w:val="22"/>
        <w:szCs w:val="22"/>
      </w:rPr>
      <w:t xml:space="preserve">949.837.7092  </w:t>
    </w:r>
    <w:r w:rsidR="00BA4CE3">
      <w:rPr>
        <w:rFonts w:ascii="Century Gothic" w:hAnsi="Century Gothic"/>
        <w:color w:val="000000"/>
        <w:spacing w:val="36"/>
        <w:sz w:val="22"/>
        <w:szCs w:val="22"/>
      </w:rPr>
      <w:t>www.etwd.co</w:t>
    </w:r>
    <w:r w:rsidR="00BA4CE3">
      <w:rPr>
        <w:rFonts w:ascii="Century Gothic" w:hAnsi="Century Gothic"/>
        <w:color w:val="000000"/>
        <w:sz w:val="22"/>
        <w:szCs w:val="22"/>
      </w:rPr>
      <w:t>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E3" w:rsidRDefault="00EA2E51" w:rsidP="008043CD">
    <w:pPr>
      <w:pStyle w:val="Footer"/>
      <w:jc w:val="center"/>
    </w:pPr>
    <w:r>
      <w:rPr>
        <w:rFonts w:ascii="Century Gothic" w:hAnsi="Century Gothic"/>
        <w:noProof/>
        <w:color w:val="000000"/>
        <w:sz w:val="22"/>
        <w:szCs w:val="22"/>
        <w:lang w:eastAsia="en-US"/>
      </w:rPr>
      <w:pict>
        <v:shapetype id="_x0000_t32" coordsize="21600,21600" o:spt="32" o:oned="t" path="m,l21600,21600e" filled="f">
          <v:path arrowok="t" fillok="f" o:connecttype="none"/>
          <o:lock v:ext="edit" shapetype="t"/>
        </v:shapetype>
        <v:shape id="_x0000_s2049" type="#_x0000_t32" style="position:absolute;left:0;text-align:left;margin-left:25.8pt;margin-top:-.65pt;width:452.4pt;height:0;z-index:251660288" o:connectortype="straight"/>
      </w:pict>
    </w:r>
    <w:r w:rsidR="00BA4CE3">
      <w:rPr>
        <w:rFonts w:ascii="Century Gothic" w:hAnsi="Century Gothic"/>
        <w:color w:val="000000"/>
        <w:sz w:val="22"/>
        <w:szCs w:val="22"/>
      </w:rPr>
      <w:t xml:space="preserve">P.O. Box 4000 • Laguna Hills, CA 92654-4000 • Phone 949.837.0660 • Fax </w:t>
    </w:r>
    <w:proofErr w:type="gramStart"/>
    <w:r w:rsidR="00BA4CE3">
      <w:rPr>
        <w:rFonts w:ascii="Century Gothic" w:hAnsi="Century Gothic"/>
        <w:color w:val="000000"/>
        <w:sz w:val="22"/>
        <w:szCs w:val="22"/>
      </w:rPr>
      <w:t xml:space="preserve">949.837.7092  </w:t>
    </w:r>
    <w:r w:rsidR="00BA4CE3">
      <w:rPr>
        <w:rFonts w:ascii="Century Gothic" w:hAnsi="Century Gothic"/>
        <w:color w:val="000000"/>
        <w:spacing w:val="36"/>
        <w:sz w:val="22"/>
        <w:szCs w:val="22"/>
      </w:rPr>
      <w:t>www.etwd.co</w:t>
    </w:r>
    <w:r w:rsidR="00BA4CE3">
      <w:rPr>
        <w:rFonts w:ascii="Century Gothic" w:hAnsi="Century Gothic"/>
        <w:color w:val="000000"/>
        <w:sz w:val="22"/>
        <w:szCs w:val="22"/>
      </w:rPr>
      <w:t>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9D" w:rsidRDefault="00BC269D">
      <w:r>
        <w:separator/>
      </w:r>
    </w:p>
  </w:footnote>
  <w:footnote w:type="continuationSeparator" w:id="0">
    <w:p w:rsidR="00BC269D" w:rsidRDefault="00BC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E3" w:rsidRPr="008043CD" w:rsidRDefault="00BA4CE3">
    <w:pPr>
      <w:pStyle w:val="Header"/>
      <w:rPr>
        <w:rFonts w:ascii="Century Gothic" w:hAnsi="Century Gothic" w:cs="Arial"/>
      </w:rPr>
    </w:pPr>
    <w:r w:rsidRPr="008043CD">
      <w:rPr>
        <w:rFonts w:ascii="Century Gothic" w:hAnsi="Century Gothic" w:cs="Arial"/>
      </w:rPr>
      <w:t>El Toro Water District</w:t>
    </w:r>
  </w:p>
  <w:p w:rsidR="00BA4CE3" w:rsidRPr="008043CD" w:rsidRDefault="00BA4CE3">
    <w:pPr>
      <w:pStyle w:val="Header"/>
      <w:rPr>
        <w:rFonts w:ascii="Century Gothic" w:hAnsi="Century Gothic" w:cs="Arial"/>
      </w:rPr>
    </w:pPr>
    <w:r w:rsidRPr="008043CD">
      <w:rPr>
        <w:rFonts w:ascii="Century Gothic" w:hAnsi="Century Gothic" w:cs="Arial"/>
      </w:rPr>
      <w:t>Page 2</w:t>
    </w:r>
  </w:p>
  <w:p w:rsidR="00BA4CE3" w:rsidRDefault="00BA4CE3">
    <w:pPr>
      <w:pStyle w:val="Header"/>
      <w:rPr>
        <w:rFonts w:ascii="Arial" w:hAnsi="Arial" w:cs="Arial"/>
      </w:rPr>
    </w:pPr>
  </w:p>
  <w:p w:rsidR="00BA4CE3" w:rsidRDefault="00BA4CE3">
    <w:pPr>
      <w:pStyle w:val="Header"/>
      <w:rPr>
        <w:rFonts w:ascii="Arial" w:hAnsi="Arial" w:cs="Arial"/>
      </w:rPr>
    </w:pPr>
  </w:p>
  <w:p w:rsidR="00BA4CE3" w:rsidRDefault="00BA4CE3">
    <w:pPr>
      <w:pStyle w:val="Header"/>
      <w:rPr>
        <w:rFonts w:ascii="Arial" w:hAnsi="Arial" w:cs="Arial"/>
      </w:rPr>
    </w:pPr>
  </w:p>
  <w:p w:rsidR="00BA4CE3" w:rsidRPr="008043CD" w:rsidRDefault="00BA4CE3">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1818"/>
      <w:gridCol w:w="7758"/>
    </w:tblGrid>
    <w:tr w:rsidR="00BA4CE3" w:rsidTr="00F112A2">
      <w:trPr>
        <w:jc w:val="center"/>
      </w:trPr>
      <w:tc>
        <w:tcPr>
          <w:tcW w:w="1818" w:type="dxa"/>
        </w:tcPr>
        <w:p w:rsidR="00BA4CE3" w:rsidRDefault="00BC269D" w:rsidP="00F112A2">
          <w:pPr>
            <w:pStyle w:val="Header"/>
          </w:pPr>
          <w:r>
            <w:rPr>
              <w:noProof/>
            </w:rPr>
            <w:drawing>
              <wp:inline distT="0" distB="0" distL="0" distR="0">
                <wp:extent cx="906780" cy="815340"/>
                <wp:effectExtent l="19050" t="0" r="7620" b="0"/>
                <wp:docPr id="1" name="Picture 1" descr="ETWD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WD_Logo_black copy"/>
                        <pic:cNvPicPr>
                          <a:picLocks noChangeAspect="1" noChangeArrowheads="1"/>
                        </pic:cNvPicPr>
                      </pic:nvPicPr>
                      <pic:blipFill>
                        <a:blip r:embed="rId1"/>
                        <a:srcRect/>
                        <a:stretch>
                          <a:fillRect/>
                        </a:stretch>
                      </pic:blipFill>
                      <pic:spPr bwMode="auto">
                        <a:xfrm>
                          <a:off x="0" y="0"/>
                          <a:ext cx="906780" cy="815340"/>
                        </a:xfrm>
                        <a:prstGeom prst="rect">
                          <a:avLst/>
                        </a:prstGeom>
                        <a:noFill/>
                        <a:ln w="9525">
                          <a:noFill/>
                          <a:miter lim="800000"/>
                          <a:headEnd/>
                          <a:tailEnd/>
                        </a:ln>
                      </pic:spPr>
                    </pic:pic>
                  </a:graphicData>
                </a:graphic>
              </wp:inline>
            </w:drawing>
          </w:r>
        </w:p>
      </w:tc>
      <w:tc>
        <w:tcPr>
          <w:tcW w:w="7758" w:type="dxa"/>
          <w:vAlign w:val="center"/>
        </w:tcPr>
        <w:p w:rsidR="00BA4CE3" w:rsidRDefault="00BA4CE3" w:rsidP="00F112A2">
          <w:pPr>
            <w:widowControl w:val="0"/>
            <w:jc w:val="center"/>
            <w:rPr>
              <w:rFonts w:ascii="Century Gothic" w:hAnsi="Century Gothic"/>
              <w:b/>
              <w:iCs/>
              <w:color w:val="000000"/>
              <w:spacing w:val="62"/>
              <w:sz w:val="40"/>
              <w:szCs w:val="40"/>
            </w:rPr>
          </w:pPr>
          <w:r>
            <w:rPr>
              <w:rFonts w:ascii="Century Gothic" w:hAnsi="Century Gothic"/>
              <w:b/>
              <w:iCs/>
              <w:color w:val="000000"/>
              <w:spacing w:val="62"/>
              <w:sz w:val="40"/>
              <w:szCs w:val="40"/>
            </w:rPr>
            <w:t>El Toro Water District</w:t>
          </w:r>
        </w:p>
        <w:p w:rsidR="00BA4CE3" w:rsidRDefault="00BA4CE3" w:rsidP="00F112A2">
          <w:pPr>
            <w:widowControl w:val="0"/>
            <w:jc w:val="center"/>
            <w:rPr>
              <w:rFonts w:ascii="Century Gothic" w:hAnsi="Century Gothic"/>
              <w:i/>
              <w:iCs/>
              <w:color w:val="000000"/>
              <w:spacing w:val="62"/>
              <w:sz w:val="20"/>
              <w:szCs w:val="20"/>
            </w:rPr>
          </w:pPr>
          <w:r>
            <w:rPr>
              <w:rFonts w:ascii="Century Gothic" w:hAnsi="Century Gothic"/>
              <w:i/>
              <w:iCs/>
              <w:color w:val="000000"/>
              <w:spacing w:val="62"/>
              <w:sz w:val="20"/>
              <w:szCs w:val="20"/>
            </w:rPr>
            <w:t>“A District of Distinction”</w:t>
          </w:r>
        </w:p>
        <w:p w:rsidR="00BA4CE3" w:rsidRDefault="00BA4CE3" w:rsidP="00F112A2">
          <w:pPr>
            <w:widowControl w:val="0"/>
            <w:jc w:val="center"/>
            <w:rPr>
              <w:rFonts w:ascii="Century Gothic" w:hAnsi="Century Gothic"/>
              <w:color w:val="000000"/>
              <w:spacing w:val="40"/>
              <w:sz w:val="20"/>
              <w:szCs w:val="20"/>
            </w:rPr>
          </w:pPr>
          <w:r>
            <w:rPr>
              <w:rFonts w:ascii="Century Gothic" w:hAnsi="Century Gothic"/>
              <w:color w:val="000000"/>
              <w:spacing w:val="40"/>
              <w:sz w:val="20"/>
              <w:szCs w:val="20"/>
            </w:rPr>
            <w:t>Serving the Public, Respecting the Environment</w:t>
          </w:r>
        </w:p>
        <w:p w:rsidR="00BA4CE3" w:rsidRDefault="00BA4CE3" w:rsidP="00F112A2">
          <w:pPr>
            <w:widowControl w:val="0"/>
            <w:jc w:val="center"/>
            <w:rPr>
              <w:rFonts w:ascii="Garamond" w:hAnsi="Garamond"/>
              <w:color w:val="000000"/>
              <w:sz w:val="20"/>
              <w:szCs w:val="20"/>
            </w:rPr>
          </w:pPr>
        </w:p>
        <w:p w:rsidR="00BA4CE3" w:rsidRDefault="00BA4CE3" w:rsidP="00F112A2">
          <w:pPr>
            <w:pStyle w:val="Header"/>
            <w:jc w:val="center"/>
          </w:pPr>
        </w:p>
      </w:tc>
    </w:tr>
  </w:tbl>
  <w:p w:rsidR="00BA4CE3" w:rsidRDefault="00BA4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449"/>
    <o:shapelayout v:ext="edit">
      <o:idmap v:ext="edit" data="2"/>
      <o:rules v:ext="edit">
        <o:r id="V:Rule401" type="connector" idref="#_x0000_s2438"/>
        <o:r id="V:Rule402" type="connector" idref="#_x0000_s2353"/>
        <o:r id="V:Rule403" type="connector" idref="#_x0000_s2321"/>
        <o:r id="V:Rule404" type="connector" idref="#_x0000_s2346"/>
        <o:r id="V:Rule405" type="connector" idref="#_x0000_s2109"/>
        <o:r id="V:Rule406" type="connector" idref="#_x0000_s2245"/>
        <o:r id="V:Rule407" type="connector" idref="#_x0000_s2150"/>
        <o:r id="V:Rule408" type="connector" idref="#_x0000_s2269"/>
        <o:r id="V:Rule409" type="connector" idref="#_x0000_s2405"/>
        <o:r id="V:Rule410" type="connector" idref="#_x0000_s2198"/>
        <o:r id="V:Rule411" type="connector" idref="#_x0000_s2081"/>
        <o:r id="V:Rule412" type="connector" idref="#_x0000_s2377"/>
        <o:r id="V:Rule413" type="connector" idref="#_x0000_s2181"/>
        <o:r id="V:Rule414" type="connector" idref="#_x0000_s2098"/>
        <o:r id="V:Rule415" type="connector" idref="#_x0000_s2290"/>
        <o:r id="V:Rule416" type="connector" idref="#_x0000_s2382"/>
        <o:r id="V:Rule417" type="connector" idref="#_x0000_s2366"/>
        <o:r id="V:Rule418" type="connector" idref="#_x0000_s2145"/>
        <o:r id="V:Rule419" type="connector" idref="#_x0000_s2209"/>
        <o:r id="V:Rule420" type="connector" idref="#_x0000_s2414"/>
        <o:r id="V:Rule421" type="connector" idref="#_x0000_s2333"/>
        <o:r id="V:Rule422" type="connector" idref="#_x0000_s2258"/>
        <o:r id="V:Rule423" type="connector" idref="#_x0000_s2099"/>
        <o:r id="V:Rule424" type="connector" idref="#_x0000_s2180"/>
        <o:r id="V:Rule425" type="connector" idref="#_x0000_s2291"/>
        <o:r id="V:Rule426" type="connector" idref="#_x0000_s2383"/>
        <o:r id="V:Rule427" type="connector" idref="#_x0000_s2208"/>
        <o:r id="V:Rule428" type="connector" idref="#_x0000_s2367"/>
        <o:r id="V:Rule429" type="connector" idref="#_x0000_s2144"/>
        <o:r id="V:Rule430" type="connector" idref="#_x0000_s2415"/>
        <o:r id="V:Rule431" type="connector" idref="#_x0000_s2332"/>
        <o:r id="V:Rule432" type="connector" idref="#_x0000_s2259"/>
        <o:r id="V:Rule433" type="connector" idref="#_x0000_s2439"/>
        <o:r id="V:Rule434" type="connector" idref="#_x0000_s2352"/>
        <o:r id="V:Rule435" type="connector" idref="#_x0000_s2320"/>
        <o:r id="V:Rule436" type="connector" idref="#_x0000_s2244"/>
        <o:r id="V:Rule437" type="connector" idref="#_x0000_s2151"/>
        <o:r id="V:Rule438" type="connector" idref="#_x0000_s2347"/>
        <o:r id="V:Rule439" type="connector" idref="#_x0000_s2108"/>
        <o:r id="V:Rule440" type="connector" idref="#_x0000_s2049"/>
        <o:r id="V:Rule441" type="connector" idref="#_x0000_s2268"/>
        <o:r id="V:Rule442" type="connector" idref="#_x0000_s2404"/>
        <o:r id="V:Rule443" type="connector" idref="#_x0000_s2080"/>
        <o:r id="V:Rule444" type="connector" idref="#_x0000_s2376"/>
        <o:r id="V:Rule445" type="connector" idref="#_x0000_s2199"/>
        <o:r id="V:Rule446" type="connector" idref="#_x0000_s2289"/>
        <o:r id="V:Rule447" type="connector" idref="#_x0000_s2385"/>
        <o:r id="V:Rule448" type="connector" idref="#_x0000_s2101"/>
        <o:r id="V:Rule449" type="connector" idref="#_x0000_s2397"/>
        <o:r id="V:Rule450" type="connector" idref="#_x0000_s2178"/>
        <o:r id="V:Rule451" type="connector" idref="#_x0000_s2413"/>
        <o:r id="V:Rule452" type="connector" idref="#_x0000_s2334"/>
        <o:r id="V:Rule453" type="connector" idref="#_x0000_s2261"/>
        <o:r id="V:Rule454" type="connector" idref="#_x0000_s2237"/>
        <o:r id="V:Rule455" type="connector" idref="#_x0000_s2210"/>
        <o:r id="V:Rule456" type="connector" idref="#_x0000_s2142"/>
        <o:r id="V:Rule457" type="connector" idref="#_x0000_s2242"/>
        <o:r id="V:Rule458" type="connector" idref="#_x0000_s2149"/>
        <o:r id="V:Rule459" type="connector" idref="#_x0000_s2426"/>
        <o:r id="V:Rule460" type="connector" idref="#_x0000_s2110"/>
        <o:r id="V:Rule461" type="connector" idref="#_x0000_s2441"/>
        <o:r id="V:Rule462" type="connector" idref="#_x0000_s2354"/>
        <o:r id="V:Rule463" type="connector" idref="#_x0000_s2318"/>
        <o:r id="V:Rule464" type="connector" idref="#_x0000_s2137"/>
        <o:r id="V:Rule465" type="connector" idref="#_x0000_s2078"/>
        <o:r id="V:Rule466" type="connector" idref="#_x0000_s2201"/>
        <o:r id="V:Rule467" type="connector" idref="#_x0000_s2051"/>
        <o:r id="V:Rule468" type="connector" idref="#_x0000_s2270"/>
        <o:r id="V:Rule469" type="connector" idref="#_x0000_s2402"/>
        <o:r id="V:Rule470" type="connector" idref="#_x0000_s2427"/>
        <o:r id="V:Rule471" type="connector" idref="#_x0000_s2111"/>
        <o:r id="V:Rule472" type="connector" idref="#_x0000_s2243"/>
        <o:r id="V:Rule473" type="connector" idref="#_x0000_s2148"/>
        <o:r id="V:Rule474" type="connector" idref="#_x0000_s2440"/>
        <o:r id="V:Rule475" type="connector" idref="#_x0000_s2355"/>
        <o:r id="V:Rule476" type="connector" idref="#_x0000_s2319"/>
        <o:r id="V:Rule477" type="connector" idref="#_x0000_s2136"/>
        <o:r id="V:Rule478" type="connector" idref="#_x0000_s2200"/>
        <o:r id="V:Rule479" type="connector" idref="#_x0000_s2079"/>
        <o:r id="V:Rule480" type="connector" idref="#_x0000_s2271"/>
        <o:r id="V:Rule481" type="connector" idref="#_x0000_s2403"/>
        <o:r id="V:Rule482" type="connector" idref="#_x0000_s2050"/>
        <o:r id="V:Rule483" type="connector" idref="#_x0000_s2288"/>
        <o:r id="V:Rule484" type="connector" idref="#_x0000_s2384"/>
        <o:r id="V:Rule485" type="connector" idref="#_x0000_s2179"/>
        <o:r id="V:Rule486" type="connector" idref="#_x0000_s2100"/>
        <o:r id="V:Rule487" type="connector" idref="#_x0000_s2396"/>
        <o:r id="V:Rule488" type="connector" idref="#_x0000_s2236"/>
        <o:r id="V:Rule489" type="connector" idref="#_x0000_s2412"/>
        <o:r id="V:Rule490" type="connector" idref="#_x0000_s2335"/>
        <o:r id="V:Rule491" type="connector" idref="#_x0000_s2260"/>
        <o:r id="V:Rule492" type="connector" idref="#_x0000_s2143"/>
        <o:r id="V:Rule493" type="connector" idref="#_x0000_s2211"/>
        <o:r id="V:Rule494" type="connector" idref="#_x0000_s2409"/>
        <o:r id="V:Rule495" type="connector" idref="#_x0000_s2265"/>
        <o:r id="V:Rule496" type="connector" idref="#_x0000_s2330"/>
        <o:r id="V:Rule497" type="connector" idref="#_x0000_s2166"/>
        <o:r id="V:Rule498" type="connector" idref="#_x0000_s2214"/>
        <o:r id="V:Rule499" type="connector" idref="#_x0000_s2138"/>
        <o:r id="V:Rule500" type="connector" idref="#_x0000_s2317"/>
        <o:r id="V:Rule501" type="connector" idref="#_x0000_s2077"/>
        <o:r id="V:Rule502" type="connector" idref="#_x0000_s2293"/>
        <o:r id="V:Rule503" type="connector" idref="#_x0000_s2381"/>
        <o:r id="V:Rule504" type="connector" idref="#_x0000_s2105"/>
        <o:r id="V:Rule505" type="connector" idref="#_x0000_s2182"/>
        <o:r id="V:Rule506" type="connector" idref="#_x0000_s2306"/>
        <o:r id="V:Rule507" type="connector" idref="#_x0000_s2082"/>
        <o:r id="V:Rule508" type="connector" idref="#_x0000_s2205"/>
        <o:r id="V:Rule509" type="connector" idref="#_x0000_s2177"/>
        <o:r id="V:Rule510" type="connector" idref="#_x0000_s2055"/>
        <o:r id="V:Rule511" type="connector" idref="#_x0000_s2274"/>
        <o:r id="V:Rule512" type="connector" idref="#_x0000_s2398"/>
        <o:r id="V:Rule513" type="connector" idref="#_x0000_s2153"/>
        <o:r id="V:Rule514" type="connector" idref="#_x0000_s2238"/>
        <o:r id="V:Rule515" type="connector" idref="#_x0000_s2114"/>
        <o:r id="V:Rule516" type="connector" idref="#_x0000_s2350"/>
        <o:r id="V:Rule517" type="connector" idref="#_x0000_s2445"/>
        <o:r id="V:Rule518" type="connector" idref="#_x0000_s2066"/>
        <o:r id="V:Rule519" type="connector" idref="#_x0000_s2322"/>
        <o:r id="V:Rule520" type="connector" idref="#_x0000_s2204"/>
        <o:r id="V:Rule521" type="connector" idref="#_x0000_s2083"/>
        <o:r id="V:Rule522" type="connector" idref="#_x0000_s2307"/>
        <o:r id="V:Rule523" type="connector" idref="#_x0000_s2275"/>
        <o:r id="V:Rule524" type="connector" idref="#_x0000_s2399"/>
        <o:r id="V:Rule525" type="connector" idref="#_x0000_s2176"/>
        <o:r id="V:Rule526" type="connector" idref="#_x0000_s2054"/>
        <o:r id="V:Rule527" type="connector" idref="#_x0000_s2115"/>
        <o:r id="V:Rule528" type="connector" idref="#_x0000_s2152"/>
        <o:r id="V:Rule529" type="connector" idref="#_x0000_s2239"/>
        <o:r id="V:Rule530" type="connector" idref="#_x0000_s2351"/>
        <o:r id="V:Rule531" type="connector" idref="#_x0000_s2444"/>
        <o:r id="V:Rule532" type="connector" idref="#_x0000_s2323"/>
        <o:r id="V:Rule533" type="connector" idref="#_x0000_s2067"/>
        <o:r id="V:Rule534" type="connector" idref="#_x0000_s2167"/>
        <o:r id="V:Rule535" type="connector" idref="#_x0000_s2408"/>
        <o:r id="V:Rule536" type="connector" idref="#_x0000_s2264"/>
        <o:r id="V:Rule537" type="connector" idref="#_x0000_s2331"/>
        <o:r id="V:Rule538" type="connector" idref="#_x0000_s2139"/>
        <o:r id="V:Rule539" type="connector" idref="#_x0000_s2316"/>
        <o:r id="V:Rule540" type="connector" idref="#_x0000_s2215"/>
        <o:r id="V:Rule541" type="connector" idref="#_x0000_s2292"/>
        <o:r id="V:Rule542" type="connector" idref="#_x0000_s2076"/>
        <o:r id="V:Rule543" type="connector" idref="#_x0000_s2380"/>
        <o:r id="V:Rule544" type="connector" idref="#_x0000_s2183"/>
        <o:r id="V:Rule545" type="connector" idref="#_x0000_s2104"/>
        <o:r id="V:Rule546" type="connector" idref="#_x0000_s2097"/>
        <o:r id="V:Rule547" type="connector" idref="#_x0000_s2273"/>
        <o:r id="V:Rule548" type="connector" idref="#_x0000_s2401"/>
        <o:r id="V:Rule549" type="connector" idref="#_x0000_s2448"/>
        <o:r id="V:Rule550" type="connector" idref="#_x0000_s2052"/>
        <o:r id="V:Rule551" type="connector" idref="#_x0000_s2202"/>
        <o:r id="V:Rule552" type="connector" idref="#_x0000_s2085"/>
        <o:r id="V:Rule553" type="connector" idref="#_x0000_s2226"/>
        <o:r id="V:Rule554" type="connector" idref="#_x0000_s2349"/>
        <o:r id="V:Rule555" type="connector" idref="#_x0000_s2442"/>
        <o:r id="V:Rule556" type="connector" idref="#_x0000_s2325"/>
        <o:r id="V:Rule557" type="connector" idref="#_x0000_s2257"/>
        <o:r id="V:Rule558" type="connector" idref="#_x0000_s2113"/>
        <o:r id="V:Rule559" type="connector" idref="#_x0000_s2154"/>
        <o:r id="V:Rule560" type="connector" idref="#_x0000_s2241"/>
        <o:r id="V:Rule561" type="connector" idref="#_x0000_s2437"/>
        <o:r id="V:Rule562" type="connector" idref="#_x0000_s2141"/>
        <o:r id="V:Rule563" type="connector" idref="#_x0000_s2213"/>
        <o:r id="V:Rule564" type="connector" idref="#_x0000_s2410"/>
        <o:r id="V:Rule565" type="connector" idref="#_x0000_s2126"/>
        <o:r id="V:Rule566" type="connector" idref="#_x0000_s2262"/>
        <o:r id="V:Rule567" type="connector" idref="#_x0000_s2329"/>
        <o:r id="V:Rule568" type="connector" idref="#_x0000_s2185"/>
        <o:r id="V:Rule569" type="connector" idref="#_x0000_s2286"/>
        <o:r id="V:Rule570" type="connector" idref="#_x0000_s2102"/>
        <o:r id="V:Rule571" type="connector" idref="#_x0000_s2294"/>
        <o:r id="V:Rule572" type="connector" idref="#_x0000_s2378"/>
        <o:r id="V:Rule573" type="connector" idref="#_x0000_s2197"/>
        <o:r id="V:Rule574" type="connector" idref="#_x0000_s2212"/>
        <o:r id="V:Rule575" type="connector" idref="#_x0000_s2436"/>
        <o:r id="V:Rule576" type="connector" idref="#_x0000_s2140"/>
        <o:r id="V:Rule577" type="connector" idref="#_x0000_s2411"/>
        <o:r id="V:Rule578" type="connector" idref="#_x0000_s2263"/>
        <o:r id="V:Rule579" type="connector" idref="#_x0000_s2127"/>
        <o:r id="V:Rule580" type="connector" idref="#_x0000_s2328"/>
        <o:r id="V:Rule581" type="connector" idref="#_x0000_s2103"/>
        <o:r id="V:Rule582" type="connector" idref="#_x0000_s2287"/>
        <o:r id="V:Rule583" type="connector" idref="#_x0000_s2184"/>
        <o:r id="V:Rule584" type="connector" idref="#_x0000_s2196"/>
        <o:r id="V:Rule585" type="connector" idref="#_x0000_s2295"/>
        <o:r id="V:Rule586" type="connector" idref="#_x0000_s2379"/>
        <o:r id="V:Rule587" type="connector" idref="#_x0000_s2053"/>
        <o:r id="V:Rule588" type="connector" idref="#_x0000_s2272"/>
        <o:r id="V:Rule589" type="connector" idref="#_x0000_s2096"/>
        <o:r id="V:Rule590" type="connector" idref="#_x0000_s2400"/>
        <o:r id="V:Rule591" type="connector" idref="#_x0000_s2084"/>
        <o:r id="V:Rule592" type="connector" idref="#_x0000_s2203"/>
        <o:r id="V:Rule593" type="connector" idref="#_x0000_s2348"/>
        <o:r id="V:Rule594" type="connector" idref="#_x0000_s2443"/>
        <o:r id="V:Rule595" type="connector" idref="#_x0000_s2324"/>
        <o:r id="V:Rule596" type="connector" idref="#_x0000_s2227"/>
        <o:r id="V:Rule597" type="connector" idref="#_x0000_s2155"/>
        <o:r id="V:Rule598" type="connector" idref="#_x0000_s2240"/>
        <o:r id="V:Rule599" type="connector" idref="#_x0000_s2112"/>
        <o:r id="V:Rule600" type="connector" idref="#_x0000_s2256"/>
        <o:r id="V:Rule601" type="connector" idref="#_x0000_s2374"/>
        <o:r id="V:Rule602" type="connector" idref="#_x0000_s2298"/>
        <o:r id="V:Rule603" type="connector" idref="#_x0000_s2169"/>
        <o:r id="V:Rule604" type="connector" idref="#_x0000_s2406"/>
        <o:r id="V:Rule605" type="connector" idref="#_x0000_s2090"/>
        <o:r id="V:Rule606" type="connector" idref="#_x0000_s2246"/>
        <o:r id="V:Rule607" type="connector" idref="#_x0000_s2345"/>
        <o:r id="V:Rule608" type="connector" idref="#_x0000_s2250"/>
        <o:r id="V:Rule609" type="connector" idref="#_x0000_s2422"/>
        <o:r id="V:Rule610" type="connector" idref="#_x0000_s2058"/>
        <o:r id="V:Rule611" type="connector" idref="#_x0000_s2133"/>
        <o:r id="V:Rule612" type="connector" idref="#_x0000_s2221"/>
        <o:r id="V:Rule613" type="connector" idref="#_x0000_s2121"/>
        <o:r id="V:Rule614" type="connector" idref="#_x0000_s2417"/>
        <o:r id="V:Rule615" type="connector" idref="#_x0000_s2233"/>
        <o:r id="V:Rule616" type="connector" idref="#_x0000_s2158"/>
        <o:r id="V:Rule617" type="connector" idref="#_x0000_s2309"/>
        <o:r id="V:Rule618" type="connector" idref="#_x0000_s2146"/>
        <o:r id="V:Rule619" type="connector" idref="#_x0000_s2430"/>
        <o:r id="V:Rule620" type="connector" idref="#_x0000_s2365"/>
        <o:r id="V:Rule621" type="connector" idref="#_x0000_s2190"/>
        <o:r id="V:Rule622" type="connector" idref="#_x0000_s2069"/>
        <o:r id="V:Rule623" type="connector" idref="#_x0000_s2393"/>
        <o:r id="V:Rule624" type="connector" idref="#_x0000_s2281"/>
        <o:r id="V:Rule625" type="connector" idref="#_x0000_s2232"/>
        <o:r id="V:Rule626" type="connector" idref="#_x0000_s2159"/>
        <o:r id="V:Rule627" type="connector" idref="#_x0000_s2120"/>
        <o:r id="V:Rule628" type="connector" idref="#_x0000_s2416"/>
        <o:r id="V:Rule629" type="connector" idref="#_x0000_s2308"/>
        <o:r id="V:Rule630" type="connector" idref="#_x0000_s2147"/>
        <o:r id="V:Rule631" type="connector" idref="#_x0000_s2431"/>
        <o:r id="V:Rule632" type="connector" idref="#_x0000_s2364"/>
        <o:r id="V:Rule633" type="connector" idref="#_x0000_s2068"/>
        <o:r id="V:Rule634" type="connector" idref="#_x0000_s2191"/>
        <o:r id="V:Rule635" type="connector" idref="#_x0000_s2392"/>
        <o:r id="V:Rule636" type="connector" idref="#_x0000_s2280"/>
        <o:r id="V:Rule637" type="connector" idref="#_x0000_s2375"/>
        <o:r id="V:Rule638" type="connector" idref="#_x0000_s2299"/>
        <o:r id="V:Rule639" type="connector" idref="#_x0000_s2407"/>
        <o:r id="V:Rule640" type="connector" idref="#_x0000_s2091"/>
        <o:r id="V:Rule641" type="connector" idref="#_x0000_s2168"/>
        <o:r id="V:Rule642" type="connector" idref="#_x0000_s2344"/>
        <o:r id="V:Rule643" type="connector" idref="#_x0000_s2251"/>
        <o:r id="V:Rule644" type="connector" idref="#_x0000_s2423"/>
        <o:r id="V:Rule645" type="connector" idref="#_x0000_s2247"/>
        <o:r id="V:Rule646" type="connector" idref="#_x0000_s2220"/>
        <o:r id="V:Rule647" type="connector" idref="#_x0000_s2059"/>
        <o:r id="V:Rule648" type="connector" idref="#_x0000_s2132"/>
        <o:r id="V:Rule649" type="connector" idref="#_x0000_s2310"/>
        <o:r id="V:Rule650" type="connector" idref="#_x0000_s2429"/>
        <o:r id="V:Rule651" type="connector" idref="#_x0000_s2362"/>
        <o:r id="V:Rule652" type="connector" idref="#_x0000_s2234"/>
        <o:r id="V:Rule653" type="connector" idref="#_x0000_s2161"/>
        <o:r id="V:Rule654" type="connector" idref="#_x0000_s2337"/>
        <o:r id="V:Rule655" type="connector" idref="#_x0000_s2118"/>
        <o:r id="V:Rule656" type="connector" idref="#_x0000_s2394"/>
        <o:r id="V:Rule657" type="connector" idref="#_x0000_s2278"/>
        <o:r id="V:Rule658" type="connector" idref="#_x0000_s2386"/>
        <o:r id="V:Rule659" type="connector" idref="#_x0000_s2070"/>
        <o:r id="V:Rule660" type="connector" idref="#_x0000_s2189"/>
        <o:r id="V:Rule661" type="connector" idref="#_x0000_s2089"/>
        <o:r id="V:Rule662" type="connector" idref="#_x0000_s2170"/>
        <o:r id="V:Rule663" type="connector" idref="#_x0000_s2373"/>
        <o:r id="V:Rule664" type="connector" idref="#_x0000_s2301"/>
        <o:r id="V:Rule665" type="connector" idref="#_x0000_s2218"/>
        <o:r id="V:Rule666" type="connector" idref="#_x0000_s2061"/>
        <o:r id="V:Rule667" type="connector" idref="#_x0000_s2134"/>
        <o:r id="V:Rule668" type="connector" idref="#_x0000_s2357"/>
        <o:r id="V:Rule669" type="connector" idref="#_x0000_s2342"/>
        <o:r id="V:Rule670" type="connector" idref="#_x0000_s2249"/>
        <o:r id="V:Rule671" type="connector" idref="#_x0000_s2425"/>
        <o:r id="V:Rule672" type="connector" idref="#_x0000_s2171"/>
        <o:r id="V:Rule673" type="connector" idref="#_x0000_s2088"/>
        <o:r id="V:Rule674" type="connector" idref="#_x0000_s2372"/>
        <o:r id="V:Rule675" type="connector" idref="#_x0000_s2300"/>
        <o:r id="V:Rule676" type="connector" idref="#_x0000_s2060"/>
        <o:r id="V:Rule677" type="connector" idref="#_x0000_s2135"/>
        <o:r id="V:Rule678" type="connector" idref="#_x0000_s2356"/>
        <o:r id="V:Rule679" type="connector" idref="#_x0000_s2219"/>
        <o:r id="V:Rule680" type="connector" idref="#_x0000_s2343"/>
        <o:r id="V:Rule681" type="connector" idref="#_x0000_s2248"/>
        <o:r id="V:Rule682" type="connector" idref="#_x0000_s2424"/>
        <o:r id="V:Rule683" type="connector" idref="#_x0000_s2311"/>
        <o:r id="V:Rule684" type="connector" idref="#_x0000_s2428"/>
        <o:r id="V:Rule685" type="connector" idref="#_x0000_s2363"/>
        <o:r id="V:Rule686" type="connector" idref="#_x0000_s2336"/>
        <o:r id="V:Rule687" type="connector" idref="#_x0000_s2119"/>
        <o:r id="V:Rule688" type="connector" idref="#_x0000_s2235"/>
        <o:r id="V:Rule689" type="connector" idref="#_x0000_s2160"/>
        <o:r id="V:Rule690" type="connector" idref="#_x0000_s2395"/>
        <o:r id="V:Rule691" type="connector" idref="#_x0000_s2279"/>
        <o:r id="V:Rule692" type="connector" idref="#_x0000_s2188"/>
        <o:r id="V:Rule693" type="connector" idref="#_x0000_s2387"/>
        <o:r id="V:Rule694" type="connector" idref="#_x0000_s2071"/>
        <o:r id="V:Rule695" type="connector" idref="#_x0000_s2390"/>
        <o:r id="V:Rule696" type="connector" idref="#_x0000_s2106"/>
        <o:r id="V:Rule697" type="connector" idref="#_x0000_s2282"/>
        <o:r id="V:Rule698" type="connector" idref="#_x0000_s2074"/>
        <o:r id="V:Rule699" type="connector" idref="#_x0000_s2193"/>
        <o:r id="V:Rule700" type="connector" idref="#_x0000_s2314"/>
        <o:r id="V:Rule701" type="connector" idref="#_x0000_s2358"/>
        <o:r id="V:Rule702" type="connector" idref="#_x0000_s2433"/>
        <o:r id="V:Rule703" type="connector" idref="#_x0000_s2217"/>
        <o:r id="V:Rule704" type="connector" idref="#_x0000_s2165"/>
        <o:r id="V:Rule705" type="connector" idref="#_x0000_s2230"/>
        <o:r id="V:Rule706" type="connector" idref="#_x0000_s2266"/>
        <o:r id="V:Rule707" type="connector" idref="#_x0000_s2122"/>
        <o:r id="V:Rule708" type="connector" idref="#_x0000_s2222"/>
        <o:r id="V:Rule709" type="connector" idref="#_x0000_s2130"/>
        <o:r id="V:Rule710" type="connector" idref="#_x0000_s2065"/>
        <o:r id="V:Rule711" type="connector" idref="#_x0000_s2446"/>
        <o:r id="V:Rule712" type="connector" idref="#_x0000_s2117"/>
        <o:r id="V:Rule713" type="connector" idref="#_x0000_s2253"/>
        <o:r id="V:Rule714" type="connector" idref="#_x0000_s2338"/>
        <o:r id="V:Rule715" type="connector" idref="#_x0000_s2421"/>
        <o:r id="V:Rule716" type="connector" idref="#_x0000_s2277"/>
        <o:r id="V:Rule717" type="connector" idref="#_x0000_s2093"/>
        <o:r id="V:Rule718" type="connector" idref="#_x0000_s2056"/>
        <o:r id="V:Rule719" type="connector" idref="#_x0000_s2174"/>
        <o:r id="V:Rule720" type="connector" idref="#_x0000_s2206"/>
        <o:r id="V:Rule721" type="connector" idref="#_x0000_s2369"/>
        <o:r id="V:Rule722" type="connector" idref="#_x0000_s2305"/>
        <o:r id="V:Rule723" type="connector" idref="#_x0000_s2131"/>
        <o:r id="V:Rule724" type="connector" idref="#_x0000_s2064"/>
        <o:r id="V:Rule725" type="connector" idref="#_x0000_s2447"/>
        <o:r id="V:Rule726" type="connector" idref="#_x0000_s2223"/>
        <o:r id="V:Rule727" type="connector" idref="#_x0000_s2252"/>
        <o:r id="V:Rule728" type="connector" idref="#_x0000_s2116"/>
        <o:r id="V:Rule729" type="connector" idref="#_x0000_s2339"/>
        <o:r id="V:Rule730" type="connector" idref="#_x0000_s2420"/>
        <o:r id="V:Rule731" type="connector" idref="#_x0000_s2057"/>
        <o:r id="V:Rule732" type="connector" idref="#_x0000_s2175"/>
        <o:r id="V:Rule733" type="connector" idref="#_x0000_s2092"/>
        <o:r id="V:Rule734" type="connector" idref="#_x0000_s2276"/>
        <o:r id="V:Rule735" type="connector" idref="#_x0000_s2368"/>
        <o:r id="V:Rule736" type="connector" idref="#_x0000_s2304"/>
        <o:r id="V:Rule737" type="connector" idref="#_x0000_s2207"/>
        <o:r id="V:Rule738" type="connector" idref="#_x0000_s2391"/>
        <o:r id="V:Rule739" type="connector" idref="#_x0000_s2283"/>
        <o:r id="V:Rule740" type="connector" idref="#_x0000_s2107"/>
        <o:r id="V:Rule741" type="connector" idref="#_x0000_s2192"/>
        <o:r id="V:Rule742" type="connector" idref="#_x0000_s2075"/>
        <o:r id="V:Rule743" type="connector" idref="#_x0000_s2216"/>
        <o:r id="V:Rule744" type="connector" idref="#_x0000_s2315"/>
        <o:r id="V:Rule745" type="connector" idref="#_x0000_s2359"/>
        <o:r id="V:Rule746" type="connector" idref="#_x0000_s2432"/>
        <o:r id="V:Rule747" type="connector" idref="#_x0000_s2123"/>
        <o:r id="V:Rule748" type="connector" idref="#_x0000_s2267"/>
        <o:r id="V:Rule749" type="connector" idref="#_x0000_s2164"/>
        <o:r id="V:Rule750" type="connector" idref="#_x0000_s2231"/>
        <o:r id="V:Rule751" type="connector" idref="#_x0000_s2157"/>
        <o:r id="V:Rule752" type="connector" idref="#_x0000_s2254"/>
        <o:r id="V:Rule753" type="connector" idref="#_x0000_s2341"/>
        <o:r id="V:Rule754" type="connector" idref="#_x0000_s2418"/>
        <o:r id="V:Rule755" type="connector" idref="#_x0000_s2129"/>
        <o:r id="V:Rule756" type="connector" idref="#_x0000_s2326"/>
        <o:r id="V:Rule757" type="connector" idref="#_x0000_s2062"/>
        <o:r id="V:Rule758" type="connector" idref="#_x0000_s2225"/>
        <o:r id="V:Rule759" type="connector" idref="#_x0000_s2370"/>
        <o:r id="V:Rule760" type="connector" idref="#_x0000_s2086"/>
        <o:r id="V:Rule761" type="connector" idref="#_x0000_s2302"/>
        <o:r id="V:Rule762" type="connector" idref="#_x0000_s2173"/>
        <o:r id="V:Rule763" type="connector" idref="#_x0000_s2094"/>
        <o:r id="V:Rule764" type="connector" idref="#_x0000_s2194"/>
        <o:r id="V:Rule765" type="connector" idref="#_x0000_s2297"/>
        <o:r id="V:Rule766" type="connector" idref="#_x0000_s2073"/>
        <o:r id="V:Rule767" type="connector" idref="#_x0000_s2389"/>
        <o:r id="V:Rule768" type="connector" idref="#_x0000_s2285"/>
        <o:r id="V:Rule769" type="connector" idref="#_x0000_s2186"/>
        <o:r id="V:Rule770" type="connector" idref="#_x0000_s2125"/>
        <o:r id="V:Rule771" type="connector" idref="#_x0000_s2162"/>
        <o:r id="V:Rule772" type="connector" idref="#_x0000_s2229"/>
        <o:r id="V:Rule773" type="connector" idref="#_x0000_s2313"/>
        <o:r id="V:Rule774" type="connector" idref="#_x0000_s2361"/>
        <o:r id="V:Rule775" type="connector" idref="#_x0000_s2434"/>
        <o:r id="V:Rule776" type="connector" idref="#_x0000_s2072"/>
        <o:r id="V:Rule777" type="connector" idref="#_x0000_s2296"/>
        <o:r id="V:Rule778" type="connector" idref="#_x0000_s2195"/>
        <o:r id="V:Rule779" type="connector" idref="#_x0000_s2187"/>
        <o:r id="V:Rule780" type="connector" idref="#_x0000_s2388"/>
        <o:r id="V:Rule781" type="connector" idref="#_x0000_s2284"/>
        <o:r id="V:Rule782" type="connector" idref="#_x0000_s2163"/>
        <o:r id="V:Rule783" type="connector" idref="#_x0000_s2228"/>
        <o:r id="V:Rule784" type="connector" idref="#_x0000_s2124"/>
        <o:r id="V:Rule785" type="connector" idref="#_x0000_s2312"/>
        <o:r id="V:Rule786" type="connector" idref="#_x0000_s2360"/>
        <o:r id="V:Rule787" type="connector" idref="#_x0000_s2435"/>
        <o:r id="V:Rule788" type="connector" idref="#_x0000_s2255"/>
        <o:r id="V:Rule789" type="connector" idref="#_x0000_s2340"/>
        <o:r id="V:Rule790" type="connector" idref="#_x0000_s2419"/>
        <o:r id="V:Rule791" type="connector" idref="#_x0000_s2156"/>
        <o:r id="V:Rule792" type="connector" idref="#_x0000_s2224"/>
        <o:r id="V:Rule793" type="connector" idref="#_x0000_s2128"/>
        <o:r id="V:Rule794" type="connector" idref="#_x0000_s2063"/>
        <o:r id="V:Rule795" type="connector" idref="#_x0000_s2327"/>
        <o:r id="V:Rule796" type="connector" idref="#_x0000_s2371"/>
        <o:r id="V:Rule797" type="connector" idref="#_x0000_s2303"/>
        <o:r id="V:Rule798" type="connector" idref="#_x0000_s2087"/>
        <o:r id="V:Rule799" type="connector" idref="#_x0000_s2095"/>
        <o:r id="V:Rule800" type="connector" idref="#_x0000_s2172"/>
      </o:rules>
    </o:shapelayout>
  </w:hdrShapeDefaults>
  <w:footnotePr>
    <w:pos w:val="beneathText"/>
    <w:footnote w:id="-1"/>
    <w:footnote w:id="0"/>
  </w:footnotePr>
  <w:endnotePr>
    <w:endnote w:id="-1"/>
    <w:endnote w:id="0"/>
  </w:endnotePr>
  <w:compat>
    <w:compatSetting w:name="compatibilityMode" w:uri="http://schemas.microsoft.com/office/word" w:val="12"/>
  </w:compat>
  <w:rsids>
    <w:rsidRoot w:val="008043CD"/>
    <w:rsid w:val="000E22D5"/>
    <w:rsid w:val="001B53B4"/>
    <w:rsid w:val="001D211C"/>
    <w:rsid w:val="00286197"/>
    <w:rsid w:val="002F4F23"/>
    <w:rsid w:val="00362509"/>
    <w:rsid w:val="00391DE8"/>
    <w:rsid w:val="003E36AA"/>
    <w:rsid w:val="004D29A2"/>
    <w:rsid w:val="005B68FD"/>
    <w:rsid w:val="00720861"/>
    <w:rsid w:val="00730189"/>
    <w:rsid w:val="007A6104"/>
    <w:rsid w:val="008043CD"/>
    <w:rsid w:val="00877F9D"/>
    <w:rsid w:val="008863B9"/>
    <w:rsid w:val="00894E35"/>
    <w:rsid w:val="00967F16"/>
    <w:rsid w:val="009D5E62"/>
    <w:rsid w:val="00A0794E"/>
    <w:rsid w:val="00A30A7E"/>
    <w:rsid w:val="00B832F1"/>
    <w:rsid w:val="00BA4CE3"/>
    <w:rsid w:val="00BC269D"/>
    <w:rsid w:val="00C07CE4"/>
    <w:rsid w:val="00C8217B"/>
    <w:rsid w:val="00CC4FCE"/>
    <w:rsid w:val="00CF2359"/>
    <w:rsid w:val="00D95F02"/>
    <w:rsid w:val="00D96B3A"/>
    <w:rsid w:val="00DC3C6B"/>
    <w:rsid w:val="00EA2E51"/>
    <w:rsid w:val="00EE576F"/>
    <w:rsid w:val="00EF49A1"/>
    <w:rsid w:val="00F02D48"/>
    <w:rsid w:val="00F112A2"/>
    <w:rsid w:val="00FA67E0"/>
    <w:rsid w:val="00FC5AF2"/>
    <w:rsid w:val="00FD0F25"/>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9"/>
    <o:shapelayout v:ext="edit">
      <o:idmap v:ext="edit" data="1"/>
    </o:shapelayout>
  </w:shapeDefaults>
  <w:decimalSymbol w:val="."/>
  <w:listSeparator w:val=","/>
  <w15:docId w15:val="{C6EC89E3-1F51-4016-A03D-0D6549C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Hyperlink">
    <w:name w:val="Hyperlink"/>
    <w:basedOn w:val="DefaultParagraphFont"/>
    <w:uiPriority w:val="99"/>
    <w:rPr>
      <w:color w:val="0000FF"/>
      <w:u w:val="single"/>
    </w:rPr>
  </w:style>
  <w:style w:type="character" w:customStyle="1" w:styleId="CharChar">
    <w:name w:val="Char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suppressAutoHyphens w:val="0"/>
    </w:pPr>
    <w:rPr>
      <w:lang w:eastAsia="en-US"/>
    </w:r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043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wd.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December 23, 2009</vt:lpstr>
    </vt:vector>
  </TitlesOfParts>
  <Company>Keena•Thomas Communications</Company>
  <LinksUpToDate>false</LinksUpToDate>
  <CharactersWithSpaces>2131</CharactersWithSpaces>
  <SharedDoc>false</SharedDoc>
  <HLinks>
    <vt:vector size="6" baseType="variant">
      <vt:variant>
        <vt:i4>5701710</vt:i4>
      </vt:variant>
      <vt:variant>
        <vt:i4>0</vt:i4>
      </vt:variant>
      <vt:variant>
        <vt:i4>0</vt:i4>
      </vt:variant>
      <vt:variant>
        <vt:i4>5</vt:i4>
      </vt:variant>
      <vt:variant>
        <vt:lpwstr>http://www.etwd.com/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23, 2009</dc:title>
  <dc:subject/>
  <dc:creator>Carrie Arneth Miller</dc:creator>
  <cp:keywords/>
  <cp:lastModifiedBy>Martin McIntosh</cp:lastModifiedBy>
  <cp:revision>3</cp:revision>
  <cp:lastPrinted>2010-10-27T17:26:00Z</cp:lastPrinted>
  <dcterms:created xsi:type="dcterms:W3CDTF">2016-03-08T00:47:00Z</dcterms:created>
  <dcterms:modified xsi:type="dcterms:W3CDTF">2016-03-08T00:48:00Z</dcterms:modified>
</cp:coreProperties>
</file>