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DD" w:rsidRPr="008043CD" w:rsidRDefault="00397ADD" w:rsidP="008043CD">
      <w:pPr>
        <w:spacing w:line="276" w:lineRule="auto"/>
        <w:ind w:left="270" w:right="270"/>
        <w:rPr>
          <w:rFonts w:ascii="Century Gothic" w:hAnsi="Century Gothic" w:cs="Arial"/>
          <w:sz w:val="22"/>
          <w:szCs w:val="22"/>
        </w:rPr>
      </w:pPr>
      <w:r w:rsidRPr="008043CD">
        <w:rPr>
          <w:rFonts w:ascii="Century Gothic" w:hAnsi="Century Gothic" w:cs="Arial"/>
          <w:sz w:val="22"/>
          <w:szCs w:val="22"/>
        </w:rPr>
        <w:t>July 23, 2010</w:t>
      </w:r>
    </w:p>
    <w:p w:rsidR="00397ADD" w:rsidRPr="00A30A7E" w:rsidRDefault="00397ADD" w:rsidP="008043CD">
      <w:pPr>
        <w:pStyle w:val="BalloonText"/>
        <w:spacing w:line="276" w:lineRule="auto"/>
        <w:ind w:left="270" w:right="270"/>
        <w:rPr>
          <w:rFonts w:ascii="Century Gothic" w:hAnsi="Century Gothic" w:cs="Arial"/>
          <w:sz w:val="18"/>
          <w:szCs w:val="18"/>
        </w:rPr>
      </w:pPr>
    </w:p>
    <w:p w:rsidR="00397ADD" w:rsidRPr="00A30A7E" w:rsidRDefault="00397ADD" w:rsidP="008043CD">
      <w:pPr>
        <w:pStyle w:val="BalloonText"/>
        <w:spacing w:line="276" w:lineRule="auto"/>
        <w:ind w:left="270" w:right="270"/>
        <w:rPr>
          <w:rFonts w:ascii="Century Gothic" w:hAnsi="Century Gothic" w:cs="Arial"/>
          <w:sz w:val="12"/>
          <w:szCs w:val="12"/>
        </w:rPr>
      </w:pPr>
    </w:p>
    <w:p w:rsidR="00397ADD" w:rsidRDefault="00397ADD" w:rsidP="008043CD">
      <w:pPr>
        <w:pStyle w:val="BalloonText"/>
        <w:spacing w:line="276" w:lineRule="auto"/>
        <w:ind w:left="270" w:right="270"/>
        <w:rPr>
          <w:rFonts w:ascii="Century Gothic" w:hAnsi="Century Gothic" w:cs="Arial"/>
          <w:sz w:val="22"/>
          <w:szCs w:val="22"/>
        </w:rPr>
      </w:pPr>
      <w:r w:rsidRPr="005F21F1">
        <w:rPr>
          <w:rFonts w:ascii="Century Gothic" w:hAnsi="Century Gothic" w:cs="Arial"/>
          <w:noProof/>
          <w:sz w:val="22"/>
          <w:szCs w:val="22"/>
        </w:rPr>
        <w:t>Adam Simmons</w:t>
      </w:r>
    </w:p>
    <w:p w:rsidR="00397ADD" w:rsidRDefault="00397ADD" w:rsidP="008043CD">
      <w:pPr>
        <w:pStyle w:val="BalloonText"/>
        <w:spacing w:line="276" w:lineRule="auto"/>
        <w:ind w:left="270" w:right="270"/>
        <w:rPr>
          <w:rFonts w:ascii="Century Gothic" w:hAnsi="Century Gothic" w:cs="Arial"/>
          <w:sz w:val="22"/>
          <w:szCs w:val="22"/>
        </w:rPr>
      </w:pPr>
      <w:r w:rsidRPr="005F21F1">
        <w:rPr>
          <w:rFonts w:ascii="Century Gothic" w:hAnsi="Century Gothic" w:cs="Arial"/>
          <w:noProof/>
          <w:sz w:val="22"/>
          <w:szCs w:val="22"/>
        </w:rPr>
        <w:t>23952 Plant Ave</w:t>
      </w:r>
    </w:p>
    <w:p w:rsidR="00397ADD" w:rsidRPr="008043CD" w:rsidRDefault="00397ADD" w:rsidP="008043CD">
      <w:pPr>
        <w:pStyle w:val="BalloonText"/>
        <w:spacing w:line="276" w:lineRule="auto"/>
        <w:ind w:left="270" w:right="270"/>
        <w:rPr>
          <w:rFonts w:ascii="Century Gothic" w:hAnsi="Century Gothic" w:cs="Arial"/>
          <w:sz w:val="22"/>
          <w:szCs w:val="22"/>
        </w:rPr>
      </w:pPr>
      <w:r w:rsidRPr="005F21F1">
        <w:rPr>
          <w:rFonts w:ascii="Century Gothic" w:hAnsi="Century Gothic" w:cs="Arial"/>
          <w:noProof/>
          <w:sz w:val="22"/>
          <w:szCs w:val="22"/>
        </w:rPr>
        <w:t>Mission Viejo</w:t>
      </w:r>
      <w:r>
        <w:rPr>
          <w:rFonts w:ascii="Century Gothic" w:hAnsi="Century Gothic" w:cs="Arial"/>
          <w:sz w:val="22"/>
          <w:szCs w:val="22"/>
        </w:rPr>
        <w:t xml:space="preserve">, </w:t>
      </w:r>
      <w:r w:rsidRPr="005F21F1">
        <w:rPr>
          <w:rFonts w:ascii="Century Gothic" w:hAnsi="Century Gothic" w:cs="Arial"/>
          <w:noProof/>
          <w:sz w:val="22"/>
          <w:szCs w:val="22"/>
        </w:rPr>
        <w:t>CA</w:t>
      </w:r>
      <w:r>
        <w:rPr>
          <w:rFonts w:ascii="Century Gothic" w:hAnsi="Century Gothic" w:cs="Arial"/>
          <w:sz w:val="22"/>
          <w:szCs w:val="22"/>
        </w:rPr>
        <w:t xml:space="preserve"> </w:t>
      </w:r>
      <w:r w:rsidRPr="005F21F1">
        <w:rPr>
          <w:rFonts w:ascii="Century Gothic" w:hAnsi="Century Gothic" w:cs="Arial"/>
          <w:noProof/>
          <w:sz w:val="22"/>
          <w:szCs w:val="22"/>
        </w:rPr>
        <w:t>92691</w:t>
      </w:r>
    </w:p>
    <w:p w:rsidR="00397ADD" w:rsidRDefault="00397ADD" w:rsidP="008043CD">
      <w:pPr>
        <w:spacing w:line="276" w:lineRule="auto"/>
        <w:ind w:left="270" w:right="270"/>
        <w:rPr>
          <w:rFonts w:ascii="Century Gothic" w:hAnsi="Century Gothic" w:cs="Arial"/>
          <w:noProof/>
          <w:sz w:val="22"/>
          <w:szCs w:val="22"/>
        </w:rPr>
      </w:pPr>
    </w:p>
    <w:p w:rsidR="00397ADD" w:rsidRPr="008043CD" w:rsidRDefault="00397ADD" w:rsidP="008043CD">
      <w:pPr>
        <w:spacing w:line="276" w:lineRule="auto"/>
        <w:ind w:left="270" w:right="270"/>
        <w:rPr>
          <w:rFonts w:ascii="Century Gothic" w:hAnsi="Century Gothic" w:cs="Arial"/>
          <w:sz w:val="22"/>
          <w:szCs w:val="22"/>
        </w:rPr>
      </w:pPr>
      <w:r>
        <w:rPr>
          <w:rFonts w:ascii="Century Gothic" w:hAnsi="Century Gothic" w:cs="Arial"/>
          <w:sz w:val="22"/>
          <w:szCs w:val="22"/>
        </w:rPr>
        <w:t xml:space="preserve">RE:  </w:t>
      </w:r>
      <w:r w:rsidRPr="005F21F1">
        <w:rPr>
          <w:rFonts w:ascii="Century Gothic" w:hAnsi="Century Gothic" w:cs="Arial"/>
          <w:noProof/>
          <w:sz w:val="22"/>
          <w:szCs w:val="22"/>
        </w:rPr>
        <w:t>23952 PLANT AV</w:t>
      </w:r>
    </w:p>
    <w:p w:rsidR="00397ADD" w:rsidRDefault="00397ADD" w:rsidP="008043CD">
      <w:pPr>
        <w:spacing w:line="276" w:lineRule="auto"/>
        <w:ind w:left="270" w:right="270"/>
        <w:rPr>
          <w:rFonts w:ascii="Century Gothic" w:hAnsi="Century Gothic" w:cs="Arial"/>
          <w:sz w:val="22"/>
          <w:szCs w:val="22"/>
        </w:rPr>
      </w:pPr>
    </w:p>
    <w:p w:rsidR="00397ADD" w:rsidRDefault="00397ADD" w:rsidP="008043CD">
      <w:pPr>
        <w:spacing w:line="276" w:lineRule="auto"/>
        <w:ind w:left="270" w:right="270"/>
        <w:rPr>
          <w:rFonts w:ascii="Century Gothic" w:hAnsi="Century Gothic" w:cs="Arial"/>
          <w:sz w:val="22"/>
          <w:szCs w:val="22"/>
        </w:rPr>
      </w:pPr>
    </w:p>
    <w:p w:rsidR="00397ADD" w:rsidRPr="008043CD" w:rsidRDefault="00397ADD" w:rsidP="008043CD">
      <w:pPr>
        <w:spacing w:line="276" w:lineRule="auto"/>
        <w:ind w:left="270" w:right="270"/>
        <w:rPr>
          <w:rFonts w:ascii="Century Gothic" w:hAnsi="Century Gothic" w:cs="Arial"/>
          <w:sz w:val="22"/>
          <w:szCs w:val="22"/>
        </w:rPr>
      </w:pPr>
      <w:r w:rsidRPr="008043CD">
        <w:rPr>
          <w:rFonts w:ascii="Century Gothic" w:hAnsi="Century Gothic" w:cs="Arial"/>
          <w:sz w:val="22"/>
          <w:szCs w:val="22"/>
        </w:rPr>
        <w:t xml:space="preserve">Dear </w:t>
      </w:r>
      <w:r w:rsidRPr="005F21F1">
        <w:rPr>
          <w:rFonts w:ascii="Century Gothic" w:hAnsi="Century Gothic" w:cs="Arial"/>
          <w:noProof/>
          <w:sz w:val="22"/>
          <w:szCs w:val="22"/>
        </w:rPr>
        <w:t>Adam Simmons</w:t>
      </w:r>
      <w:r>
        <w:rPr>
          <w:rFonts w:ascii="Century Gothic" w:hAnsi="Century Gothic" w:cs="Arial"/>
          <w:sz w:val="22"/>
          <w:szCs w:val="22"/>
        </w:rPr>
        <w:t>,</w:t>
      </w:r>
    </w:p>
    <w:p w:rsidR="00397ADD" w:rsidRPr="008043CD" w:rsidRDefault="00397ADD" w:rsidP="008043CD">
      <w:pPr>
        <w:spacing w:line="276" w:lineRule="auto"/>
        <w:ind w:left="270" w:right="270"/>
        <w:rPr>
          <w:rFonts w:ascii="Century Gothic" w:hAnsi="Century Gothic" w:cs="Arial"/>
          <w:sz w:val="22"/>
          <w:szCs w:val="22"/>
        </w:rPr>
      </w:pPr>
    </w:p>
    <w:p w:rsidR="00397ADD" w:rsidRPr="008043CD" w:rsidRDefault="00397ADD" w:rsidP="007A6104">
      <w:pPr>
        <w:spacing w:line="288" w:lineRule="auto"/>
        <w:ind w:left="274" w:right="274"/>
        <w:rPr>
          <w:rFonts w:ascii="Century Gothic" w:hAnsi="Century Gothic" w:cs="Arial"/>
          <w:sz w:val="22"/>
          <w:szCs w:val="22"/>
        </w:rPr>
      </w:pPr>
      <w:r w:rsidRPr="008043CD">
        <w:rPr>
          <w:rFonts w:ascii="Century Gothic" w:hAnsi="Century Gothic" w:cs="Arial"/>
          <w:sz w:val="22"/>
          <w:szCs w:val="22"/>
        </w:rPr>
        <w:t>In an on-going effort to encourage water use</w:t>
      </w:r>
      <w:r w:rsidRPr="008043CD">
        <w:rPr>
          <w:rFonts w:ascii="Century Gothic" w:hAnsi="Century Gothic" w:cs="Arial"/>
          <w:color w:val="FF0000"/>
          <w:sz w:val="22"/>
          <w:szCs w:val="22"/>
        </w:rPr>
        <w:t xml:space="preserve"> </w:t>
      </w:r>
      <w:r w:rsidRPr="008043CD">
        <w:rPr>
          <w:rFonts w:ascii="Century Gothic" w:hAnsi="Century Gothic" w:cs="Arial"/>
          <w:sz w:val="22"/>
          <w:szCs w:val="22"/>
        </w:rPr>
        <w:t xml:space="preserve">efficiency in a fair and equitable manner, El Toro Water District (ETWD) implemented a new Water Budget-Based Tiered Conservation Rate Structure (Tiered Conservation Rate Structure), as of July 1, 2010. </w:t>
      </w:r>
    </w:p>
    <w:p w:rsidR="00397ADD" w:rsidRPr="008043CD" w:rsidRDefault="00397ADD" w:rsidP="007A6104">
      <w:pPr>
        <w:spacing w:line="288" w:lineRule="auto"/>
        <w:ind w:left="274" w:right="274"/>
        <w:rPr>
          <w:rFonts w:ascii="Century Gothic" w:hAnsi="Century Gothic" w:cs="Arial"/>
          <w:sz w:val="22"/>
          <w:szCs w:val="22"/>
        </w:rPr>
      </w:pPr>
    </w:p>
    <w:p w:rsidR="00397ADD" w:rsidRPr="008043CD" w:rsidRDefault="00397ADD" w:rsidP="007A6104">
      <w:pPr>
        <w:spacing w:line="288" w:lineRule="auto"/>
        <w:ind w:left="274" w:right="274"/>
        <w:rPr>
          <w:rFonts w:ascii="Century Gothic" w:hAnsi="Century Gothic" w:cs="Arial"/>
          <w:sz w:val="22"/>
          <w:szCs w:val="22"/>
        </w:rPr>
      </w:pPr>
      <w:r w:rsidRPr="008043CD">
        <w:rPr>
          <w:rFonts w:ascii="Century Gothic" w:hAnsi="Century Gothic" w:cs="Arial"/>
          <w:sz w:val="22"/>
          <w:szCs w:val="22"/>
        </w:rPr>
        <w:t xml:space="preserve">The Tiered Conservation Rate Structure provides an indoor water budget and a separate outdoor water budget.  Each budget is calculated based on a variety of individual factors, including </w:t>
      </w:r>
      <w:r w:rsidRPr="008043CD">
        <w:rPr>
          <w:rFonts w:ascii="Century Gothic" w:hAnsi="Century Gothic" w:cs="Arial"/>
          <w:sz w:val="22"/>
          <w:szCs w:val="22"/>
          <w:u w:val="single"/>
        </w:rPr>
        <w:t xml:space="preserve">occupancy </w:t>
      </w:r>
      <w:r w:rsidRPr="008043CD">
        <w:rPr>
          <w:rFonts w:ascii="Century Gothic" w:hAnsi="Century Gothic" w:cs="Arial"/>
          <w:sz w:val="22"/>
          <w:szCs w:val="22"/>
        </w:rPr>
        <w:t xml:space="preserve">and estimated </w:t>
      </w:r>
      <w:r w:rsidRPr="008043CD">
        <w:rPr>
          <w:rFonts w:ascii="Century Gothic" w:hAnsi="Century Gothic" w:cs="Arial"/>
          <w:sz w:val="22"/>
          <w:szCs w:val="22"/>
          <w:u w:val="single"/>
        </w:rPr>
        <w:t>irrigation area</w:t>
      </w:r>
      <w:r w:rsidRPr="008043CD">
        <w:rPr>
          <w:rFonts w:ascii="Century Gothic" w:hAnsi="Century Gothic" w:cs="Arial"/>
          <w:sz w:val="22"/>
          <w:szCs w:val="22"/>
        </w:rPr>
        <w:t xml:space="preserve">.  Inaccurate data will likely result in an inaccurate water budget. </w:t>
      </w:r>
    </w:p>
    <w:p w:rsidR="00397ADD" w:rsidRPr="008043CD" w:rsidRDefault="00397ADD" w:rsidP="007A6104">
      <w:pPr>
        <w:spacing w:line="288" w:lineRule="auto"/>
        <w:ind w:left="274" w:right="274"/>
        <w:rPr>
          <w:rFonts w:ascii="Century Gothic" w:hAnsi="Century Gothic" w:cs="Arial"/>
          <w:sz w:val="22"/>
          <w:szCs w:val="22"/>
        </w:rPr>
      </w:pPr>
    </w:p>
    <w:p w:rsidR="00397ADD" w:rsidRPr="008043CD" w:rsidRDefault="00397ADD" w:rsidP="007A6104">
      <w:pPr>
        <w:spacing w:line="288" w:lineRule="auto"/>
        <w:ind w:left="274" w:right="274"/>
        <w:rPr>
          <w:rFonts w:ascii="Century Gothic" w:hAnsi="Century Gothic" w:cs="Arial"/>
          <w:sz w:val="22"/>
          <w:szCs w:val="22"/>
        </w:rPr>
      </w:pPr>
      <w:r w:rsidRPr="008043CD">
        <w:rPr>
          <w:rFonts w:ascii="Century Gothic" w:hAnsi="Century Gothic" w:cs="Arial"/>
          <w:sz w:val="22"/>
          <w:szCs w:val="22"/>
        </w:rPr>
        <w:t>Your last (June) water bill indicates that you exceeded your Tier I - indoor and Tier II - outdoor water budgets.  We want to make sure that the information we used to calculate your water budgets is accurate, and to clarify the impact that exceeding your water budgets will have on your monthly water bill. You bill was calculated using the following data:</w:t>
      </w:r>
    </w:p>
    <w:p w:rsidR="00397ADD" w:rsidRPr="008043CD" w:rsidRDefault="00397ADD" w:rsidP="008043CD">
      <w:pPr>
        <w:spacing w:line="276" w:lineRule="auto"/>
        <w:ind w:left="270" w:right="270"/>
        <w:rPr>
          <w:rFonts w:ascii="Century Gothic" w:hAnsi="Century Gothic" w:cs="Arial"/>
          <w:sz w:val="22"/>
          <w:szCs w:val="22"/>
        </w:rPr>
      </w:pPr>
    </w:p>
    <w:tbl>
      <w:tblPr>
        <w:tblW w:w="0" w:type="auto"/>
        <w:tblLook w:val="04A0" w:firstRow="1" w:lastRow="0" w:firstColumn="1" w:lastColumn="0" w:noHBand="0" w:noVBand="1"/>
      </w:tblPr>
      <w:tblGrid>
        <w:gridCol w:w="3325"/>
        <w:gridCol w:w="3390"/>
        <w:gridCol w:w="3365"/>
      </w:tblGrid>
      <w:tr w:rsidR="00397ADD" w:rsidRPr="008043CD" w:rsidTr="007A6104">
        <w:trPr>
          <w:trHeight w:val="506"/>
        </w:trPr>
        <w:tc>
          <w:tcPr>
            <w:tcW w:w="3411" w:type="dxa"/>
          </w:tcPr>
          <w:p w:rsidR="00397ADD" w:rsidRDefault="00397ADD" w:rsidP="007A6104">
            <w:pPr>
              <w:keepNext/>
              <w:spacing w:line="276" w:lineRule="auto"/>
              <w:ind w:left="270" w:right="270"/>
              <w:jc w:val="center"/>
              <w:rPr>
                <w:rFonts w:ascii="Century Gothic" w:eastAsia="Calibri" w:hAnsi="Century Gothic" w:cs="Arial"/>
                <w:b/>
                <w:sz w:val="22"/>
                <w:szCs w:val="22"/>
                <w:u w:val="single"/>
              </w:rPr>
            </w:pPr>
            <w:r w:rsidRPr="008043CD">
              <w:rPr>
                <w:rFonts w:ascii="Century Gothic" w:eastAsia="Calibri" w:hAnsi="Century Gothic" w:cs="Arial"/>
                <w:b/>
                <w:sz w:val="22"/>
                <w:szCs w:val="22"/>
                <w:u w:val="single"/>
              </w:rPr>
              <w:t>SERVICE ID</w:t>
            </w:r>
          </w:p>
          <w:p w:rsidR="00397ADD" w:rsidRPr="008043CD" w:rsidRDefault="00397ADD" w:rsidP="007A6104">
            <w:pPr>
              <w:keepNext/>
              <w:spacing w:line="276" w:lineRule="auto"/>
              <w:ind w:left="270" w:right="270"/>
              <w:jc w:val="center"/>
              <w:rPr>
                <w:rFonts w:ascii="Century Gothic" w:hAnsi="Century Gothic" w:cs="Arial"/>
                <w:sz w:val="22"/>
                <w:szCs w:val="22"/>
              </w:rPr>
            </w:pPr>
            <w:r w:rsidRPr="005F21F1">
              <w:rPr>
                <w:rFonts w:ascii="Century Gothic" w:hAnsi="Century Gothic" w:cs="Arial"/>
                <w:noProof/>
                <w:sz w:val="22"/>
                <w:szCs w:val="22"/>
              </w:rPr>
              <w:t>3529228</w:t>
            </w:r>
          </w:p>
        </w:tc>
        <w:tc>
          <w:tcPr>
            <w:tcW w:w="3451" w:type="dxa"/>
          </w:tcPr>
          <w:p w:rsidR="00397ADD" w:rsidRDefault="00397ADD" w:rsidP="007A6104">
            <w:pPr>
              <w:keepNext/>
              <w:spacing w:line="276" w:lineRule="auto"/>
              <w:ind w:left="270" w:right="270"/>
              <w:jc w:val="center"/>
              <w:rPr>
                <w:rFonts w:ascii="Century Gothic" w:eastAsia="Calibri" w:hAnsi="Century Gothic" w:cs="Arial"/>
                <w:b/>
                <w:sz w:val="22"/>
                <w:szCs w:val="22"/>
                <w:u w:val="single"/>
              </w:rPr>
            </w:pPr>
            <w:r w:rsidRPr="008043CD">
              <w:rPr>
                <w:rFonts w:ascii="Century Gothic" w:eastAsia="Calibri" w:hAnsi="Century Gothic" w:cs="Arial"/>
                <w:b/>
                <w:sz w:val="22"/>
                <w:szCs w:val="22"/>
                <w:u w:val="single"/>
              </w:rPr>
              <w:t>OCCUPANCY</w:t>
            </w:r>
          </w:p>
          <w:p w:rsidR="00397ADD" w:rsidRPr="008043CD" w:rsidRDefault="00397ADD" w:rsidP="007A6104">
            <w:pPr>
              <w:keepNext/>
              <w:spacing w:line="276" w:lineRule="auto"/>
              <w:ind w:left="270" w:right="270"/>
              <w:jc w:val="center"/>
              <w:rPr>
                <w:rFonts w:ascii="Century Gothic" w:hAnsi="Century Gothic" w:cs="Arial"/>
                <w:sz w:val="22"/>
                <w:szCs w:val="22"/>
              </w:rPr>
            </w:pPr>
            <w:r w:rsidRPr="005F21F1">
              <w:rPr>
                <w:rFonts w:ascii="Century Gothic" w:hAnsi="Century Gothic" w:cs="Arial"/>
                <w:noProof/>
                <w:sz w:val="22"/>
                <w:szCs w:val="22"/>
              </w:rPr>
              <w:t>4</w:t>
            </w:r>
          </w:p>
        </w:tc>
        <w:tc>
          <w:tcPr>
            <w:tcW w:w="3434" w:type="dxa"/>
          </w:tcPr>
          <w:p w:rsidR="00397ADD" w:rsidRDefault="00397ADD" w:rsidP="007A6104">
            <w:pPr>
              <w:keepNext/>
              <w:spacing w:line="276" w:lineRule="auto"/>
              <w:ind w:left="270" w:right="270"/>
              <w:jc w:val="center"/>
              <w:rPr>
                <w:rFonts w:ascii="Century Gothic" w:hAnsi="Century Gothic" w:cs="Arial"/>
                <w:b/>
                <w:sz w:val="22"/>
                <w:szCs w:val="22"/>
                <w:u w:val="single"/>
                <w:vertAlign w:val="superscript"/>
              </w:rPr>
            </w:pPr>
            <w:r w:rsidRPr="008043CD">
              <w:rPr>
                <w:rFonts w:ascii="Century Gothic" w:eastAsia="Calibri" w:hAnsi="Century Gothic" w:cs="Arial"/>
                <w:b/>
                <w:sz w:val="22"/>
                <w:szCs w:val="22"/>
                <w:u w:val="single"/>
              </w:rPr>
              <w:t xml:space="preserve">IRRIGATION AREA </w:t>
            </w:r>
            <w:r w:rsidRPr="008043CD">
              <w:rPr>
                <w:rFonts w:ascii="Century Gothic" w:hAnsi="Century Gothic" w:cs="Arial"/>
                <w:b/>
                <w:sz w:val="22"/>
                <w:szCs w:val="22"/>
                <w:u w:val="single"/>
              </w:rPr>
              <w:t>ft</w:t>
            </w:r>
            <w:r w:rsidRPr="008043CD">
              <w:rPr>
                <w:rFonts w:ascii="Century Gothic" w:hAnsi="Century Gothic" w:cs="Arial"/>
                <w:b/>
                <w:sz w:val="22"/>
                <w:szCs w:val="22"/>
                <w:u w:val="single"/>
                <w:vertAlign w:val="superscript"/>
              </w:rPr>
              <w:t>2</w:t>
            </w:r>
          </w:p>
          <w:p w:rsidR="00397ADD" w:rsidRPr="008043CD" w:rsidRDefault="00397ADD" w:rsidP="007A6104">
            <w:pPr>
              <w:keepNext/>
              <w:spacing w:line="276" w:lineRule="auto"/>
              <w:ind w:left="270" w:right="270"/>
              <w:jc w:val="center"/>
              <w:rPr>
                <w:rFonts w:ascii="Century Gothic" w:hAnsi="Century Gothic" w:cs="Arial"/>
                <w:sz w:val="22"/>
                <w:szCs w:val="22"/>
              </w:rPr>
            </w:pPr>
            <w:r w:rsidRPr="005F21F1">
              <w:rPr>
                <w:rFonts w:ascii="Century Gothic" w:hAnsi="Century Gothic" w:cs="Arial"/>
                <w:noProof/>
                <w:sz w:val="22"/>
                <w:szCs w:val="22"/>
              </w:rPr>
              <w:t>4110</w:t>
            </w:r>
          </w:p>
        </w:tc>
      </w:tr>
    </w:tbl>
    <w:p w:rsidR="00397ADD" w:rsidRPr="008043CD" w:rsidRDefault="00397ADD" w:rsidP="008043CD">
      <w:pPr>
        <w:spacing w:line="276" w:lineRule="auto"/>
        <w:ind w:left="270" w:right="270"/>
        <w:rPr>
          <w:rFonts w:ascii="Century Gothic" w:hAnsi="Century Gothic" w:cs="Arial"/>
          <w:sz w:val="22"/>
          <w:szCs w:val="22"/>
        </w:rPr>
      </w:pPr>
    </w:p>
    <w:p w:rsidR="00397ADD" w:rsidRPr="008043CD" w:rsidRDefault="00397ADD" w:rsidP="007A6104">
      <w:pPr>
        <w:spacing w:line="288" w:lineRule="auto"/>
        <w:ind w:left="274" w:right="274"/>
        <w:rPr>
          <w:rFonts w:ascii="Century Gothic" w:hAnsi="Century Gothic" w:cs="Arial"/>
          <w:sz w:val="22"/>
          <w:szCs w:val="22"/>
        </w:rPr>
      </w:pPr>
      <w:r w:rsidRPr="008043CD">
        <w:rPr>
          <w:rFonts w:ascii="Century Gothic" w:hAnsi="Century Gothic" w:cs="Arial"/>
          <w:sz w:val="22"/>
          <w:szCs w:val="22"/>
        </w:rPr>
        <w:t xml:space="preserve">Please look at the occupancy number and the irrigation area listed above to verify that these figures are accurate.  If the occupancy and/or irrigation area of your home is inaccurate, please contact our Customer Service Representatives at 949.837.0660.  </w:t>
      </w:r>
    </w:p>
    <w:p w:rsidR="00397ADD" w:rsidRPr="008043CD" w:rsidRDefault="00397ADD" w:rsidP="007A6104">
      <w:pPr>
        <w:spacing w:line="288" w:lineRule="auto"/>
        <w:ind w:left="274" w:right="274"/>
        <w:rPr>
          <w:rFonts w:ascii="Century Gothic" w:hAnsi="Century Gothic" w:cs="Arial"/>
          <w:sz w:val="22"/>
          <w:szCs w:val="22"/>
        </w:rPr>
      </w:pPr>
    </w:p>
    <w:p w:rsidR="00397ADD" w:rsidRPr="008043CD" w:rsidRDefault="00397ADD" w:rsidP="007A6104">
      <w:pPr>
        <w:spacing w:line="288" w:lineRule="auto"/>
        <w:ind w:left="274" w:right="274"/>
        <w:rPr>
          <w:rFonts w:ascii="Century Gothic" w:hAnsi="Century Gothic" w:cs="Arial"/>
          <w:sz w:val="22"/>
          <w:szCs w:val="22"/>
        </w:rPr>
      </w:pPr>
      <w:r w:rsidRPr="008043CD">
        <w:rPr>
          <w:rFonts w:ascii="Century Gothic" w:hAnsi="Century Gothic" w:cs="Arial"/>
          <w:sz w:val="22"/>
          <w:szCs w:val="22"/>
        </w:rPr>
        <w:t xml:space="preserve">The Tiered Conservation Rate Structure is comprised of four tiers of water use and ultimately, four different water rates. To ease the transition to the tiered rate structure, the new rates will be </w:t>
      </w:r>
      <w:r w:rsidRPr="008043CD">
        <w:rPr>
          <w:rFonts w:ascii="Century Gothic" w:hAnsi="Century Gothic" w:cs="Arial"/>
          <w:i/>
          <w:sz w:val="22"/>
          <w:szCs w:val="22"/>
          <w:u w:val="single"/>
        </w:rPr>
        <w:t>phased in</w:t>
      </w:r>
      <w:r w:rsidRPr="008043CD">
        <w:rPr>
          <w:rFonts w:ascii="Century Gothic" w:hAnsi="Century Gothic" w:cs="Arial"/>
          <w:sz w:val="22"/>
          <w:szCs w:val="22"/>
        </w:rPr>
        <w:t xml:space="preserve"> over the next few months, as noted below.  The Tiered </w:t>
      </w:r>
      <w:r w:rsidRPr="008043CD">
        <w:rPr>
          <w:rFonts w:ascii="Century Gothic" w:hAnsi="Century Gothic" w:cs="Arial"/>
          <w:sz w:val="22"/>
          <w:szCs w:val="22"/>
        </w:rPr>
        <w:lastRenderedPageBreak/>
        <w:t xml:space="preserve">Conservation Rate Structure is designed to reward customers who use water efficiently and discourage waste.  Customers who continue to exceed their Tier I and II budget will pay significantly higher rates. </w:t>
      </w:r>
    </w:p>
    <w:p w:rsidR="00397ADD" w:rsidRPr="008043CD" w:rsidRDefault="00397ADD" w:rsidP="008043CD">
      <w:pPr>
        <w:spacing w:line="276" w:lineRule="auto"/>
        <w:ind w:left="270" w:right="270"/>
        <w:rPr>
          <w:rFonts w:ascii="Arial" w:hAnsi="Arial" w:cs="Arial"/>
          <w:sz w:val="22"/>
          <w:szCs w:val="22"/>
        </w:rPr>
      </w:pPr>
      <w:r w:rsidRPr="008043CD">
        <w:rPr>
          <w:rFonts w:ascii="Arial" w:hAnsi="Arial" w:cs="Arial"/>
          <w:sz w:val="22"/>
          <w:szCs w:val="22"/>
        </w:rPr>
        <w:t xml:space="preserve"> </w:t>
      </w:r>
    </w:p>
    <w:p w:rsidR="00397ADD" w:rsidRPr="008043CD" w:rsidRDefault="00397ADD" w:rsidP="008043CD">
      <w:pPr>
        <w:spacing w:line="276" w:lineRule="auto"/>
        <w:ind w:left="270" w:right="270"/>
        <w:rPr>
          <w:rFonts w:ascii="Arial" w:hAnsi="Arial" w:cs="Arial"/>
          <w:sz w:val="22"/>
          <w:szCs w:val="22"/>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2070"/>
        <w:gridCol w:w="2010"/>
        <w:gridCol w:w="2070"/>
      </w:tblGrid>
      <w:tr w:rsidR="00397ADD" w:rsidRPr="008043CD" w:rsidTr="008043CD">
        <w:tc>
          <w:tcPr>
            <w:tcW w:w="3120" w:type="dxa"/>
            <w:shd w:val="clear" w:color="auto" w:fill="BFBFBF"/>
            <w:vAlign w:val="center"/>
          </w:tcPr>
          <w:p w:rsidR="00397ADD" w:rsidRPr="008043CD" w:rsidRDefault="00397ADD" w:rsidP="008043CD">
            <w:pPr>
              <w:spacing w:line="276" w:lineRule="auto"/>
              <w:ind w:left="270" w:right="270"/>
              <w:rPr>
                <w:rFonts w:ascii="Arial" w:eastAsia="Calibri" w:hAnsi="Arial" w:cs="Arial"/>
                <w:b/>
                <w:sz w:val="22"/>
                <w:szCs w:val="22"/>
              </w:rPr>
            </w:pPr>
            <w:r w:rsidRPr="008043CD">
              <w:rPr>
                <w:rFonts w:ascii="Arial" w:eastAsia="Calibri" w:hAnsi="Arial" w:cs="Arial"/>
                <w:b/>
                <w:sz w:val="22"/>
                <w:szCs w:val="22"/>
              </w:rPr>
              <w:t>Water Use Charges</w:t>
            </w:r>
          </w:p>
        </w:tc>
        <w:tc>
          <w:tcPr>
            <w:tcW w:w="2070" w:type="dxa"/>
            <w:shd w:val="clear" w:color="auto" w:fill="BFBFBF"/>
            <w:vAlign w:val="center"/>
          </w:tcPr>
          <w:p w:rsidR="00397ADD" w:rsidRPr="008043CD" w:rsidRDefault="00397ADD" w:rsidP="008043CD">
            <w:pPr>
              <w:spacing w:line="276" w:lineRule="auto"/>
              <w:ind w:left="270" w:right="270"/>
              <w:jc w:val="center"/>
              <w:rPr>
                <w:rFonts w:ascii="Arial" w:eastAsia="Calibri" w:hAnsi="Arial" w:cs="Arial"/>
                <w:b/>
                <w:sz w:val="22"/>
                <w:szCs w:val="22"/>
              </w:rPr>
            </w:pPr>
            <w:r w:rsidRPr="008043CD">
              <w:rPr>
                <w:rFonts w:ascii="Arial" w:eastAsia="Calibri" w:hAnsi="Arial" w:cs="Arial"/>
                <w:b/>
                <w:sz w:val="22"/>
                <w:szCs w:val="22"/>
              </w:rPr>
              <w:t>July</w:t>
            </w:r>
          </w:p>
          <w:p w:rsidR="00397ADD" w:rsidRPr="008043CD" w:rsidRDefault="00397ADD" w:rsidP="008043CD">
            <w:pPr>
              <w:spacing w:line="276" w:lineRule="auto"/>
              <w:ind w:left="270" w:right="270"/>
              <w:jc w:val="center"/>
              <w:rPr>
                <w:rFonts w:ascii="Arial" w:eastAsia="Calibri" w:hAnsi="Arial" w:cs="Arial"/>
                <w:b/>
                <w:sz w:val="22"/>
                <w:szCs w:val="22"/>
              </w:rPr>
            </w:pPr>
            <w:r w:rsidRPr="008043CD">
              <w:rPr>
                <w:rFonts w:ascii="Arial" w:eastAsia="Calibri" w:hAnsi="Arial" w:cs="Arial"/>
                <w:b/>
                <w:sz w:val="22"/>
                <w:szCs w:val="22"/>
              </w:rPr>
              <w:t>2010</w:t>
            </w:r>
          </w:p>
        </w:tc>
        <w:tc>
          <w:tcPr>
            <w:tcW w:w="2010" w:type="dxa"/>
            <w:shd w:val="clear" w:color="auto" w:fill="BFBFBF"/>
            <w:vAlign w:val="center"/>
          </w:tcPr>
          <w:p w:rsidR="00397ADD" w:rsidRPr="008043CD" w:rsidRDefault="00397ADD" w:rsidP="008043CD">
            <w:pPr>
              <w:spacing w:line="276" w:lineRule="auto"/>
              <w:ind w:left="270" w:right="270"/>
              <w:jc w:val="center"/>
              <w:rPr>
                <w:rFonts w:ascii="Arial" w:eastAsia="Calibri" w:hAnsi="Arial" w:cs="Arial"/>
                <w:b/>
                <w:sz w:val="22"/>
                <w:szCs w:val="22"/>
              </w:rPr>
            </w:pPr>
            <w:r w:rsidRPr="008043CD">
              <w:rPr>
                <w:rFonts w:ascii="Arial" w:eastAsia="Calibri" w:hAnsi="Arial" w:cs="Arial"/>
                <w:b/>
                <w:sz w:val="22"/>
                <w:szCs w:val="22"/>
              </w:rPr>
              <w:t>November 2010</w:t>
            </w:r>
          </w:p>
        </w:tc>
        <w:tc>
          <w:tcPr>
            <w:tcW w:w="2070" w:type="dxa"/>
            <w:shd w:val="clear" w:color="auto" w:fill="BFBFBF"/>
            <w:vAlign w:val="center"/>
          </w:tcPr>
          <w:p w:rsidR="00397ADD" w:rsidRPr="008043CD" w:rsidRDefault="00397ADD" w:rsidP="008043CD">
            <w:pPr>
              <w:spacing w:line="276" w:lineRule="auto"/>
              <w:ind w:left="270" w:right="270"/>
              <w:jc w:val="center"/>
              <w:rPr>
                <w:rFonts w:ascii="Arial" w:eastAsia="Calibri" w:hAnsi="Arial" w:cs="Arial"/>
                <w:b/>
                <w:sz w:val="22"/>
                <w:szCs w:val="22"/>
              </w:rPr>
            </w:pPr>
            <w:r w:rsidRPr="008043CD">
              <w:rPr>
                <w:rFonts w:ascii="Arial" w:eastAsia="Calibri" w:hAnsi="Arial" w:cs="Arial"/>
                <w:b/>
                <w:sz w:val="22"/>
                <w:szCs w:val="22"/>
              </w:rPr>
              <w:t>January 2011</w:t>
            </w:r>
          </w:p>
        </w:tc>
      </w:tr>
      <w:tr w:rsidR="00397ADD" w:rsidRPr="008043CD" w:rsidTr="008043CD">
        <w:trPr>
          <w:trHeight w:val="343"/>
        </w:trPr>
        <w:tc>
          <w:tcPr>
            <w:tcW w:w="3120" w:type="dxa"/>
            <w:vAlign w:val="center"/>
          </w:tcPr>
          <w:p w:rsidR="00397ADD" w:rsidRPr="008043CD" w:rsidRDefault="00397ADD" w:rsidP="008043CD">
            <w:pPr>
              <w:spacing w:line="276" w:lineRule="auto"/>
              <w:ind w:left="270" w:right="270"/>
              <w:rPr>
                <w:rFonts w:ascii="Arial" w:eastAsia="Calibri" w:hAnsi="Arial" w:cs="Arial"/>
                <w:sz w:val="22"/>
                <w:szCs w:val="22"/>
              </w:rPr>
            </w:pPr>
            <w:r w:rsidRPr="008043CD">
              <w:rPr>
                <w:rFonts w:ascii="Arial" w:eastAsia="Calibri" w:hAnsi="Arial" w:cs="Arial"/>
                <w:sz w:val="22"/>
                <w:szCs w:val="22"/>
              </w:rPr>
              <w:t>Tier I - Indoor</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$1.80</w:t>
            </w:r>
          </w:p>
        </w:tc>
        <w:tc>
          <w:tcPr>
            <w:tcW w:w="201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$1.80</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$1.80</w:t>
            </w:r>
          </w:p>
        </w:tc>
      </w:tr>
      <w:tr w:rsidR="00397ADD" w:rsidRPr="008043CD" w:rsidTr="008043CD">
        <w:trPr>
          <w:trHeight w:val="343"/>
        </w:trPr>
        <w:tc>
          <w:tcPr>
            <w:tcW w:w="3120" w:type="dxa"/>
            <w:vAlign w:val="center"/>
          </w:tcPr>
          <w:p w:rsidR="00397ADD" w:rsidRPr="008043CD" w:rsidRDefault="00397ADD" w:rsidP="008043CD">
            <w:pPr>
              <w:spacing w:line="276" w:lineRule="auto"/>
              <w:ind w:left="270" w:right="270"/>
              <w:rPr>
                <w:rFonts w:ascii="Arial" w:eastAsia="Calibri" w:hAnsi="Arial" w:cs="Arial"/>
                <w:sz w:val="22"/>
                <w:szCs w:val="22"/>
              </w:rPr>
            </w:pPr>
            <w:r w:rsidRPr="008043CD">
              <w:rPr>
                <w:rFonts w:ascii="Arial" w:eastAsia="Calibri" w:hAnsi="Arial" w:cs="Arial"/>
                <w:sz w:val="22"/>
                <w:szCs w:val="22"/>
              </w:rPr>
              <w:t>Tier II - Outdoor</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$2.20</w:t>
            </w:r>
          </w:p>
        </w:tc>
        <w:tc>
          <w:tcPr>
            <w:tcW w:w="201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$2.20</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$2.20</w:t>
            </w:r>
          </w:p>
        </w:tc>
      </w:tr>
      <w:tr w:rsidR="00397ADD" w:rsidRPr="008043CD" w:rsidTr="008043CD">
        <w:trPr>
          <w:trHeight w:val="361"/>
        </w:trPr>
        <w:tc>
          <w:tcPr>
            <w:tcW w:w="3120" w:type="dxa"/>
            <w:vAlign w:val="center"/>
          </w:tcPr>
          <w:p w:rsidR="00397ADD" w:rsidRPr="008043CD" w:rsidRDefault="00397ADD" w:rsidP="008043CD">
            <w:pPr>
              <w:spacing w:line="276" w:lineRule="auto"/>
              <w:ind w:left="270" w:right="270"/>
              <w:rPr>
                <w:rFonts w:ascii="Arial" w:eastAsia="Calibri" w:hAnsi="Arial" w:cs="Arial"/>
                <w:sz w:val="22"/>
                <w:szCs w:val="22"/>
              </w:rPr>
            </w:pPr>
            <w:r w:rsidRPr="008043CD">
              <w:rPr>
                <w:rFonts w:ascii="Arial" w:eastAsia="Calibri" w:hAnsi="Arial" w:cs="Arial"/>
                <w:sz w:val="22"/>
                <w:szCs w:val="22"/>
              </w:rPr>
              <w:t>Tier III - Inefficient</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$2.20</w:t>
            </w:r>
          </w:p>
        </w:tc>
        <w:tc>
          <w:tcPr>
            <w:tcW w:w="201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$3.29</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$4.38</w:t>
            </w:r>
          </w:p>
        </w:tc>
      </w:tr>
      <w:tr w:rsidR="00397ADD" w:rsidRPr="008043CD" w:rsidTr="008043CD">
        <w:trPr>
          <w:trHeight w:val="343"/>
        </w:trPr>
        <w:tc>
          <w:tcPr>
            <w:tcW w:w="3120" w:type="dxa"/>
            <w:vAlign w:val="center"/>
          </w:tcPr>
          <w:p w:rsidR="00397ADD" w:rsidRPr="008043CD" w:rsidRDefault="00397ADD" w:rsidP="008043CD">
            <w:pPr>
              <w:spacing w:line="276" w:lineRule="auto"/>
              <w:ind w:left="270" w:right="270"/>
              <w:rPr>
                <w:rFonts w:ascii="Arial" w:eastAsia="Calibri" w:hAnsi="Arial" w:cs="Arial"/>
                <w:sz w:val="22"/>
                <w:szCs w:val="22"/>
              </w:rPr>
            </w:pPr>
            <w:r w:rsidRPr="008043CD">
              <w:rPr>
                <w:rFonts w:ascii="Arial" w:eastAsia="Calibri" w:hAnsi="Arial" w:cs="Arial"/>
                <w:sz w:val="22"/>
                <w:szCs w:val="22"/>
              </w:rPr>
              <w:t>Tier IV - Excessive</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$2.20</w:t>
            </w:r>
          </w:p>
        </w:tc>
        <w:tc>
          <w:tcPr>
            <w:tcW w:w="201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$4.07</w:t>
            </w:r>
          </w:p>
        </w:tc>
        <w:tc>
          <w:tcPr>
            <w:tcW w:w="2070" w:type="dxa"/>
            <w:vAlign w:val="center"/>
          </w:tcPr>
          <w:p w:rsidR="00397ADD" w:rsidRPr="008043CD" w:rsidRDefault="00397ADD" w:rsidP="008043CD">
            <w:pPr>
              <w:spacing w:line="276" w:lineRule="auto"/>
              <w:ind w:left="270" w:right="270"/>
              <w:jc w:val="center"/>
              <w:rPr>
                <w:rFonts w:ascii="Arial" w:eastAsia="Calibri" w:hAnsi="Arial" w:cs="Arial"/>
                <w:sz w:val="22"/>
                <w:szCs w:val="22"/>
              </w:rPr>
            </w:pPr>
            <w:r w:rsidRPr="008043CD">
              <w:rPr>
                <w:rFonts w:ascii="Arial" w:eastAsia="Calibri" w:hAnsi="Arial" w:cs="Arial"/>
                <w:sz w:val="22"/>
                <w:szCs w:val="22"/>
              </w:rPr>
              <w:t>$5.94</w:t>
            </w:r>
          </w:p>
        </w:tc>
      </w:tr>
    </w:tbl>
    <w:p w:rsidR="00397ADD" w:rsidRPr="008043CD" w:rsidRDefault="00397ADD" w:rsidP="008043CD">
      <w:pPr>
        <w:pStyle w:val="BodyText"/>
        <w:spacing w:line="276" w:lineRule="auto"/>
        <w:ind w:left="270" w:right="270"/>
        <w:rPr>
          <w:sz w:val="22"/>
          <w:szCs w:val="22"/>
        </w:rPr>
      </w:pPr>
    </w:p>
    <w:p w:rsidR="00397ADD" w:rsidRPr="008043CD" w:rsidRDefault="00397ADD" w:rsidP="007A6104">
      <w:pPr>
        <w:pStyle w:val="BodyText"/>
        <w:spacing w:line="288" w:lineRule="auto"/>
        <w:ind w:left="274" w:right="274"/>
        <w:rPr>
          <w:rFonts w:ascii="Century Gothic" w:hAnsi="Century Gothic"/>
          <w:sz w:val="22"/>
          <w:szCs w:val="22"/>
        </w:rPr>
      </w:pPr>
      <w:r w:rsidRPr="008043CD">
        <w:rPr>
          <w:rFonts w:ascii="Century Gothic" w:hAnsi="Century Gothic"/>
          <w:sz w:val="22"/>
          <w:szCs w:val="22"/>
        </w:rPr>
        <w:t xml:space="preserve">We encourage you to utilize all of the available conservation measures to avoid these higher rates.  Conservation tips and information on the new Tiered Conservation Rate Structure are available on our website at </w:t>
      </w:r>
      <w:hyperlink r:id="rId6" w:history="1">
        <w:r w:rsidRPr="008043CD">
          <w:rPr>
            <w:rStyle w:val="Hyperlink"/>
            <w:rFonts w:ascii="Century Gothic" w:hAnsi="Century Gothic"/>
            <w:sz w:val="22"/>
            <w:szCs w:val="22"/>
          </w:rPr>
          <w:t>www.etwd.com</w:t>
        </w:r>
      </w:hyperlink>
      <w:r w:rsidRPr="008043CD">
        <w:rPr>
          <w:rFonts w:ascii="Century Gothic" w:hAnsi="Century Gothic"/>
          <w:sz w:val="22"/>
          <w:szCs w:val="22"/>
        </w:rPr>
        <w:t xml:space="preserve"> or by calling Customer Service at the number above.</w:t>
      </w:r>
    </w:p>
    <w:p w:rsidR="00397ADD" w:rsidRPr="008043CD" w:rsidRDefault="00397ADD" w:rsidP="008043CD">
      <w:pPr>
        <w:pStyle w:val="BodyText"/>
        <w:spacing w:after="0"/>
        <w:ind w:left="270" w:right="270"/>
        <w:rPr>
          <w:rFonts w:ascii="Century Gothic" w:hAnsi="Century Gothic"/>
          <w:sz w:val="22"/>
          <w:szCs w:val="22"/>
        </w:rPr>
      </w:pPr>
    </w:p>
    <w:p w:rsidR="00397ADD" w:rsidRDefault="00397ADD" w:rsidP="008043CD">
      <w:pPr>
        <w:pStyle w:val="BodyText"/>
        <w:spacing w:after="0"/>
        <w:ind w:left="270" w:right="270"/>
        <w:rPr>
          <w:rFonts w:ascii="Century Gothic" w:hAnsi="Century Gothic"/>
          <w:sz w:val="22"/>
          <w:szCs w:val="22"/>
        </w:rPr>
      </w:pPr>
      <w:r w:rsidRPr="008043CD">
        <w:rPr>
          <w:rFonts w:ascii="Century Gothic" w:hAnsi="Century Gothic"/>
          <w:sz w:val="22"/>
          <w:szCs w:val="22"/>
        </w:rPr>
        <w:t>Sincerely,</w:t>
      </w:r>
    </w:p>
    <w:p w:rsidR="00397ADD" w:rsidRDefault="00397ADD" w:rsidP="008043CD">
      <w:pPr>
        <w:pStyle w:val="BodyText"/>
        <w:spacing w:after="0"/>
        <w:ind w:left="270" w:right="270"/>
        <w:rPr>
          <w:rFonts w:ascii="Century Gothic" w:hAnsi="Century Gothic"/>
          <w:sz w:val="22"/>
          <w:szCs w:val="22"/>
        </w:rPr>
      </w:pPr>
      <w:r>
        <w:rPr>
          <w:noProof/>
          <w:lang w:eastAsia="en-US"/>
        </w:rPr>
        <w:drawing>
          <wp:anchor distT="0" distB="0" distL="114300" distR="114300" simplePos="0" relativeHeight="251680768" behindDoc="1" locked="0" layoutInCell="1" allowOverlap="1">
            <wp:simplePos x="0" y="0"/>
            <wp:positionH relativeFrom="column">
              <wp:posOffset>120650</wp:posOffset>
            </wp:positionH>
            <wp:positionV relativeFrom="paragraph">
              <wp:posOffset>38100</wp:posOffset>
            </wp:positionV>
            <wp:extent cx="1784350" cy="590550"/>
            <wp:effectExtent l="19050" t="0" r="0" b="0"/>
            <wp:wrapNone/>
            <wp:docPr id="389" name="Picture 12" descr="Robert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bert Hill"/>
                    <pic:cNvPicPr>
                      <a:picLocks noChangeAspect="1" noChangeArrowheads="1"/>
                    </pic:cNvPicPr>
                  </pic:nvPicPr>
                  <pic:blipFill>
                    <a:blip r:embed="rId7"/>
                    <a:srcRect/>
                    <a:stretch>
                      <a:fillRect/>
                    </a:stretch>
                  </pic:blipFill>
                  <pic:spPr bwMode="auto">
                    <a:xfrm>
                      <a:off x="0" y="0"/>
                      <a:ext cx="1784350" cy="590550"/>
                    </a:xfrm>
                    <a:prstGeom prst="rect">
                      <a:avLst/>
                    </a:prstGeom>
                    <a:noFill/>
                    <a:ln w="9525">
                      <a:noFill/>
                      <a:miter lim="800000"/>
                      <a:headEnd/>
                      <a:tailEnd/>
                    </a:ln>
                  </pic:spPr>
                </pic:pic>
              </a:graphicData>
            </a:graphic>
          </wp:anchor>
        </w:drawing>
      </w:r>
    </w:p>
    <w:p w:rsidR="00397ADD" w:rsidRPr="008043CD" w:rsidRDefault="00397ADD" w:rsidP="008043CD">
      <w:pPr>
        <w:pStyle w:val="BodyText"/>
        <w:spacing w:after="0"/>
        <w:ind w:left="270" w:right="270"/>
        <w:rPr>
          <w:rFonts w:ascii="Century Gothic" w:hAnsi="Century Gothic"/>
          <w:sz w:val="22"/>
          <w:szCs w:val="22"/>
        </w:rPr>
      </w:pPr>
    </w:p>
    <w:p w:rsidR="00397ADD" w:rsidRPr="008043CD" w:rsidRDefault="00397ADD" w:rsidP="008043CD">
      <w:pPr>
        <w:pStyle w:val="BodyText"/>
        <w:spacing w:after="0"/>
        <w:ind w:left="270" w:right="270"/>
        <w:rPr>
          <w:rFonts w:ascii="Century Gothic" w:hAnsi="Century Gothic"/>
          <w:sz w:val="22"/>
          <w:szCs w:val="22"/>
        </w:rPr>
      </w:pPr>
    </w:p>
    <w:p w:rsidR="00397ADD" w:rsidRPr="008043CD" w:rsidRDefault="00397ADD" w:rsidP="008043CD">
      <w:pPr>
        <w:pStyle w:val="BodyText"/>
        <w:spacing w:after="0"/>
        <w:ind w:left="270" w:right="270"/>
        <w:rPr>
          <w:rFonts w:ascii="Century Gothic" w:hAnsi="Century Gothic"/>
          <w:sz w:val="22"/>
          <w:szCs w:val="22"/>
        </w:rPr>
      </w:pPr>
      <w:r w:rsidRPr="008043CD">
        <w:rPr>
          <w:rFonts w:ascii="Century Gothic" w:hAnsi="Century Gothic"/>
          <w:sz w:val="22"/>
          <w:szCs w:val="22"/>
        </w:rPr>
        <w:t>Robert R. Hill</w:t>
      </w:r>
    </w:p>
    <w:p w:rsidR="00397ADD" w:rsidRPr="008043CD" w:rsidRDefault="00397ADD" w:rsidP="008043CD">
      <w:pPr>
        <w:pStyle w:val="BodyText"/>
        <w:spacing w:after="0"/>
        <w:ind w:left="270" w:right="270"/>
        <w:rPr>
          <w:rFonts w:ascii="Century Gothic" w:hAnsi="Century Gothic"/>
          <w:sz w:val="22"/>
          <w:szCs w:val="22"/>
        </w:rPr>
      </w:pPr>
      <w:r w:rsidRPr="008043CD">
        <w:rPr>
          <w:rFonts w:ascii="Century Gothic" w:hAnsi="Century Gothic"/>
          <w:sz w:val="22"/>
          <w:szCs w:val="22"/>
        </w:rPr>
        <w:t>General Manager</w:t>
      </w:r>
    </w:p>
    <w:p w:rsidR="00397ADD" w:rsidRDefault="00397ADD" w:rsidP="008043CD">
      <w:pPr>
        <w:spacing w:line="276" w:lineRule="auto"/>
        <w:rPr>
          <w:rFonts w:ascii="Arial" w:hAnsi="Arial" w:cs="Arial"/>
          <w:sz w:val="22"/>
          <w:szCs w:val="22"/>
        </w:rPr>
        <w:sectPr w:rsidR="00397ADD" w:rsidSect="00397ADD">
          <w:headerReference w:type="default" r:id="rId8"/>
          <w:footerReference w:type="default" r:id="rId9"/>
          <w:headerReference w:type="first" r:id="rId10"/>
          <w:footerReference w:type="first" r:id="rId11"/>
          <w:footnotePr>
            <w:pos w:val="beneathText"/>
          </w:footnotePr>
          <w:pgSz w:w="12240" w:h="15840"/>
          <w:pgMar w:top="1267" w:right="1080" w:bottom="1800" w:left="1080" w:header="720" w:footer="720" w:gutter="0"/>
          <w:pgNumType w:start="1"/>
          <w:cols w:space="720"/>
          <w:titlePg/>
          <w:docGrid w:linePitch="360"/>
        </w:sectPr>
      </w:pPr>
    </w:p>
    <w:p w:rsidR="00397ADD" w:rsidRPr="008043CD" w:rsidRDefault="00397ADD" w:rsidP="008043CD">
      <w:pPr>
        <w:spacing w:line="276" w:lineRule="auto"/>
        <w:rPr>
          <w:rFonts w:ascii="Arial" w:hAnsi="Arial" w:cs="Arial"/>
          <w:sz w:val="22"/>
          <w:szCs w:val="22"/>
        </w:rPr>
      </w:pPr>
      <w:bookmarkStart w:id="0" w:name="_GoBack"/>
      <w:bookmarkEnd w:id="0"/>
    </w:p>
    <w:sectPr w:rsidR="00397ADD" w:rsidRPr="008043CD" w:rsidSect="00397ADD">
      <w:headerReference w:type="default" r:id="rId12"/>
      <w:footerReference w:type="default" r:id="rId13"/>
      <w:headerReference w:type="first" r:id="rId14"/>
      <w:footerReference w:type="first" r:id="rId15"/>
      <w:footnotePr>
        <w:pos w:val="beneathText"/>
      </w:footnotePr>
      <w:type w:val="continuous"/>
      <w:pgSz w:w="12240" w:h="15840"/>
      <w:pgMar w:top="1267" w:right="1080" w:bottom="180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DD" w:rsidRDefault="00397ADD">
      <w:r>
        <w:separator/>
      </w:r>
    </w:p>
  </w:endnote>
  <w:endnote w:type="continuationSeparator" w:id="0">
    <w:p w:rsidR="00397ADD" w:rsidRDefault="0039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DD" w:rsidRDefault="00037519">
    <w:pPr>
      <w:pStyle w:val="Footer"/>
      <w:jc w:val="center"/>
    </w:pPr>
    <w:r>
      <w:rPr>
        <w:rFonts w:ascii="Century Gothic" w:hAnsi="Century Gothic"/>
        <w:noProof/>
        <w:color w:val="000000"/>
        <w:sz w:val="22"/>
        <w:szCs w:val="22"/>
        <w:lang w:eastAsia="en-US"/>
      </w:rPr>
      <mc:AlternateContent>
        <mc:Choice Requires="wps">
          <w:drawing>
            <wp:anchor distT="0" distB="0" distL="114300" distR="114300" simplePos="0" relativeHeight="251695104" behindDoc="0" locked="0" layoutInCell="1" allowOverlap="1">
              <wp:simplePos x="0" y="0"/>
              <wp:positionH relativeFrom="column">
                <wp:posOffset>335280</wp:posOffset>
              </wp:positionH>
              <wp:positionV relativeFrom="paragraph">
                <wp:posOffset>-635</wp:posOffset>
              </wp:positionV>
              <wp:extent cx="5745480" cy="0"/>
              <wp:effectExtent l="11430" t="8890" r="5715" b="10160"/>
              <wp:wrapNone/>
              <wp:docPr id="40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B960E6" id="_x0000_t32" coordsize="21600,21600" o:spt="32" o:oned="t" path="m,l21600,21600e" filled="f">
              <v:path arrowok="t" fillok="f" o:connecttype="none"/>
              <o:lock v:ext="edit" shapetype="t"/>
            </v:shapetype>
            <v:shape id="AutoShape 24" o:spid="_x0000_s1026" type="#_x0000_t32" style="position:absolute;margin-left:26.4pt;margin-top:-.05pt;width:452.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OD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6QNG&#10;ivSwpOe917E2muRhQoNxBQRWamtDj/SoXs2Lpt8dUrrqiGp5jH47GUjOQkbyLiVcnIE6u+GzZhBD&#10;oEAc17GxfYCEQaBj3MrpthV+9IjCx+ljPs3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"/>
          </w:pict>
        </mc:Fallback>
      </mc:AlternateContent>
    </w:r>
    <w:r w:rsidR="00397ADD">
      <w:rPr>
        <w:rFonts w:ascii="Century Gothic" w:hAnsi="Century Gothic"/>
        <w:color w:val="000000"/>
        <w:sz w:val="22"/>
        <w:szCs w:val="22"/>
      </w:rPr>
      <w:t xml:space="preserve">P.O. Box 4000 • Laguna Hills, CA 92654-4000 • Phone 949.837.0660 • Fax 949.837.7092  </w:t>
    </w:r>
    <w:r w:rsidR="00397ADD">
      <w:rPr>
        <w:rFonts w:ascii="Century Gothic" w:hAnsi="Century Gothic"/>
        <w:color w:val="000000"/>
        <w:spacing w:val="36"/>
        <w:sz w:val="22"/>
        <w:szCs w:val="22"/>
      </w:rPr>
      <w:t>www.etwd.co</w:t>
    </w:r>
    <w:r w:rsidR="00397ADD">
      <w:rPr>
        <w:rFonts w:ascii="Century Gothic" w:hAnsi="Century Gothic"/>
        <w:color w:val="000000"/>
        <w:sz w:val="22"/>
        <w:szCs w:val="22"/>
      </w:rPr>
      <w: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DD" w:rsidRDefault="00037519" w:rsidP="008043CD">
    <w:pPr>
      <w:pStyle w:val="Footer"/>
      <w:jc w:val="center"/>
    </w:pPr>
    <w:r>
      <w:rPr>
        <w:rFonts w:ascii="Century Gothic" w:hAnsi="Century Gothic"/>
        <w:noProof/>
        <w:color w:val="000000"/>
        <w:sz w:val="22"/>
        <w:szCs w:val="22"/>
        <w:lang w:eastAsia="en-US"/>
      </w:rPr>
      <mc:AlternateContent>
        <mc:Choice Requires="wps">
          <w:drawing>
            <wp:anchor distT="0" distB="0" distL="114300" distR="114300" simplePos="0" relativeHeight="251694080" behindDoc="0" locked="0" layoutInCell="1" allowOverlap="1">
              <wp:simplePos x="0" y="0"/>
              <wp:positionH relativeFrom="column">
                <wp:posOffset>327660</wp:posOffset>
              </wp:positionH>
              <wp:positionV relativeFrom="paragraph">
                <wp:posOffset>-8255</wp:posOffset>
              </wp:positionV>
              <wp:extent cx="5745480" cy="0"/>
              <wp:effectExtent l="13335" t="10795" r="13335" b="8255"/>
              <wp:wrapNone/>
              <wp:docPr id="40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25B78" id="_x0000_t32" coordsize="21600,21600" o:spt="32" o:oned="t" path="m,l21600,21600e" filled="f">
              <v:path arrowok="t" fillok="f" o:connecttype="none"/>
              <o:lock v:ext="edit" shapetype="t"/>
            </v:shapetype>
            <v:shape id="AutoShape 23" o:spid="_x0000_s1026" type="#_x0000_t32" style="position:absolute;margin-left:25.8pt;margin-top:-.65pt;width:452.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7q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"/>
          </w:pict>
        </mc:Fallback>
      </mc:AlternateContent>
    </w:r>
    <w:r w:rsidR="00397ADD">
      <w:rPr>
        <w:rFonts w:ascii="Century Gothic" w:hAnsi="Century Gothic"/>
        <w:color w:val="000000"/>
        <w:sz w:val="22"/>
        <w:szCs w:val="22"/>
      </w:rPr>
      <w:t xml:space="preserve">P.O. Box 4000 • Laguna Hills, CA 92654-4000 • Phone 949.837.0660 • Fax 949.837.7092  </w:t>
    </w:r>
    <w:r w:rsidR="00397ADD">
      <w:rPr>
        <w:rFonts w:ascii="Century Gothic" w:hAnsi="Century Gothic"/>
        <w:color w:val="000000"/>
        <w:spacing w:val="36"/>
        <w:sz w:val="22"/>
        <w:szCs w:val="22"/>
      </w:rPr>
      <w:t>www.etwd.co</w:t>
    </w:r>
    <w:r w:rsidR="00397ADD">
      <w:rPr>
        <w:rFonts w:ascii="Century Gothic" w:hAnsi="Century Gothic"/>
        <w:color w:val="000000"/>
        <w:sz w:val="22"/>
        <w:szCs w:val="22"/>
      </w:rPr>
      <w: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7B" w:rsidRDefault="00037519">
    <w:pPr>
      <w:pStyle w:val="Footer"/>
      <w:jc w:val="center"/>
    </w:pPr>
    <w:r>
      <w:rPr>
        <w:rFonts w:ascii="Century Gothic" w:hAnsi="Century Gothic"/>
        <w:noProof/>
        <w:color w:val="000000"/>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335280</wp:posOffset>
              </wp:positionH>
              <wp:positionV relativeFrom="paragraph">
                <wp:posOffset>-635</wp:posOffset>
              </wp:positionV>
              <wp:extent cx="5745480" cy="0"/>
              <wp:effectExtent l="11430" t="8890" r="5715" b="10160"/>
              <wp:wrapNone/>
              <wp:docPr id="40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EDE79" id="_x0000_t32" coordsize="21600,21600" o:spt="32" o:oned="t" path="m,l21600,21600e" filled="f">
              <v:path arrowok="t" fillok="f" o:connecttype="none"/>
              <o:lock v:ext="edit" shapetype="t"/>
            </v:shapetype>
            <v:shape id="AutoShape 2" o:spid="_x0000_s1026" type="#_x0000_t32" style="position:absolute;margin-left:26.4pt;margin-top:-.05pt;width:452.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8C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"/>
          </w:pict>
        </mc:Fallback>
      </mc:AlternateContent>
    </w:r>
    <w:r w:rsidR="00C8217B">
      <w:rPr>
        <w:rFonts w:ascii="Century Gothic" w:hAnsi="Century Gothic"/>
        <w:color w:val="000000"/>
        <w:sz w:val="22"/>
        <w:szCs w:val="22"/>
      </w:rPr>
      <w:t xml:space="preserve">P.O. Box 4000 • Laguna Hills, CA 92654-4000 • Phone 949.837.0660 • Fax 949.837.7092  </w:t>
    </w:r>
    <w:r w:rsidR="00C8217B">
      <w:rPr>
        <w:rFonts w:ascii="Century Gothic" w:hAnsi="Century Gothic"/>
        <w:color w:val="000000"/>
        <w:spacing w:val="36"/>
        <w:sz w:val="22"/>
        <w:szCs w:val="22"/>
      </w:rPr>
      <w:t>www.etwd.co</w:t>
    </w:r>
    <w:r w:rsidR="00C8217B">
      <w:rPr>
        <w:rFonts w:ascii="Century Gothic" w:hAnsi="Century Gothic"/>
        <w:color w:val="000000"/>
        <w:sz w:val="22"/>
        <w:szCs w:val="22"/>
      </w:rPr>
      <w:t>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7B" w:rsidRDefault="00037519" w:rsidP="008043CD">
    <w:pPr>
      <w:pStyle w:val="Footer"/>
      <w:jc w:val="center"/>
    </w:pPr>
    <w:r>
      <w:rPr>
        <w:rFonts w:ascii="Century Gothic" w:hAnsi="Century Gothic"/>
        <w:noProof/>
        <w:color w:val="000000"/>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-8255</wp:posOffset>
              </wp:positionV>
              <wp:extent cx="5745480" cy="0"/>
              <wp:effectExtent l="13335" t="10795" r="13335" b="8255"/>
              <wp:wrapNone/>
              <wp:docPr id="40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4BCA8" id="_x0000_t32" coordsize="21600,21600" o:spt="32" o:oned="t" path="m,l21600,21600e" filled="f">
              <v:path arrowok="t" fillok="f" o:connecttype="none"/>
              <o:lock v:ext="edit" shapetype="t"/>
            </v:shapetype>
            <v:shape id="AutoShape 1" o:spid="_x0000_s1026" type="#_x0000_t32" style="position:absolute;margin-left:25.8pt;margin-top:-.65pt;width:45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YDIQIAAD0EAAAOAAAAZHJzL2Uyb0RvYy54bWysU02P2yAQvVfqf0DcE9upk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"/>
          </w:pict>
        </mc:Fallback>
      </mc:AlternateContent>
    </w:r>
    <w:r w:rsidR="00C8217B">
      <w:rPr>
        <w:rFonts w:ascii="Century Gothic" w:hAnsi="Century Gothic"/>
        <w:color w:val="000000"/>
        <w:sz w:val="22"/>
        <w:szCs w:val="22"/>
      </w:rPr>
      <w:t xml:space="preserve">P.O. Box 4000 • Laguna Hills, CA 92654-4000 • Phone 949.837.0660 • Fax 949.837.7092  </w:t>
    </w:r>
    <w:r w:rsidR="00C8217B">
      <w:rPr>
        <w:rFonts w:ascii="Century Gothic" w:hAnsi="Century Gothic"/>
        <w:color w:val="000000"/>
        <w:spacing w:val="36"/>
        <w:sz w:val="22"/>
        <w:szCs w:val="22"/>
      </w:rPr>
      <w:t>www.etwd.co</w:t>
    </w:r>
    <w:r w:rsidR="00C8217B">
      <w:rPr>
        <w:rFonts w:ascii="Century Gothic" w:hAnsi="Century Gothic"/>
        <w:color w:val="000000"/>
        <w:sz w:val="22"/>
        <w:szCs w:val="22"/>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DD" w:rsidRDefault="00397ADD">
      <w:r>
        <w:separator/>
      </w:r>
    </w:p>
  </w:footnote>
  <w:footnote w:type="continuationSeparator" w:id="0">
    <w:p w:rsidR="00397ADD" w:rsidRDefault="0039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DD" w:rsidRPr="008043CD" w:rsidRDefault="00397ADD">
    <w:pPr>
      <w:pStyle w:val="Header"/>
      <w:rPr>
        <w:rFonts w:ascii="Century Gothic" w:hAnsi="Century Gothic" w:cs="Arial"/>
      </w:rPr>
    </w:pPr>
    <w:r w:rsidRPr="008043CD">
      <w:rPr>
        <w:rFonts w:ascii="Century Gothic" w:hAnsi="Century Gothic" w:cs="Arial"/>
      </w:rPr>
      <w:t>El Toro Water District</w:t>
    </w:r>
  </w:p>
  <w:p w:rsidR="00397ADD" w:rsidRPr="008043CD" w:rsidRDefault="00397ADD">
    <w:pPr>
      <w:pStyle w:val="Header"/>
      <w:rPr>
        <w:rFonts w:ascii="Century Gothic" w:hAnsi="Century Gothic" w:cs="Arial"/>
      </w:rPr>
    </w:pPr>
    <w:r w:rsidRPr="008043CD">
      <w:rPr>
        <w:rFonts w:ascii="Century Gothic" w:hAnsi="Century Gothic" w:cs="Arial"/>
      </w:rPr>
      <w:t>Page 2</w:t>
    </w:r>
  </w:p>
  <w:p w:rsidR="00397ADD" w:rsidRDefault="00397ADD">
    <w:pPr>
      <w:pStyle w:val="Header"/>
      <w:rPr>
        <w:rFonts w:ascii="Arial" w:hAnsi="Arial" w:cs="Arial"/>
      </w:rPr>
    </w:pPr>
  </w:p>
  <w:p w:rsidR="00397ADD" w:rsidRPr="008043CD" w:rsidRDefault="00397ADD">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1818"/>
      <w:gridCol w:w="7758"/>
    </w:tblGrid>
    <w:tr w:rsidR="00397ADD" w:rsidTr="00F112A2">
      <w:trPr>
        <w:jc w:val="center"/>
      </w:trPr>
      <w:tc>
        <w:tcPr>
          <w:tcW w:w="1818" w:type="dxa"/>
        </w:tcPr>
        <w:p w:rsidR="00397ADD" w:rsidRDefault="00397ADD" w:rsidP="00F112A2">
          <w:pPr>
            <w:pStyle w:val="Header"/>
          </w:pPr>
          <w:r>
            <w:rPr>
              <w:noProof/>
            </w:rPr>
            <w:drawing>
              <wp:inline distT="0" distB="0" distL="0" distR="0">
                <wp:extent cx="906780" cy="815340"/>
                <wp:effectExtent l="19050" t="0" r="7620" b="0"/>
                <wp:docPr id="12" name="Picture 12" descr="ETWD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WD_Logo_black copy"/>
                        <pic:cNvPicPr>
                          <a:picLocks noChangeAspect="1" noChangeArrowheads="1"/>
                        </pic:cNvPicPr>
                      </pic:nvPicPr>
                      <pic:blipFill>
                        <a:blip r:embed="rId1"/>
                        <a:srcRect/>
                        <a:stretch>
                          <a:fillRect/>
                        </a:stretch>
                      </pic:blipFill>
                      <pic:spPr bwMode="auto">
                        <a:xfrm>
                          <a:off x="0" y="0"/>
                          <a:ext cx="906780" cy="815340"/>
                        </a:xfrm>
                        <a:prstGeom prst="rect">
                          <a:avLst/>
                        </a:prstGeom>
                        <a:noFill/>
                        <a:ln w="9525">
                          <a:noFill/>
                          <a:miter lim="800000"/>
                          <a:headEnd/>
                          <a:tailEnd/>
                        </a:ln>
                      </pic:spPr>
                    </pic:pic>
                  </a:graphicData>
                </a:graphic>
              </wp:inline>
            </w:drawing>
          </w:r>
        </w:p>
      </w:tc>
      <w:tc>
        <w:tcPr>
          <w:tcW w:w="7758" w:type="dxa"/>
          <w:vAlign w:val="center"/>
        </w:tcPr>
        <w:p w:rsidR="00397ADD" w:rsidRDefault="00397ADD" w:rsidP="00F112A2">
          <w:pPr>
            <w:widowControl w:val="0"/>
            <w:jc w:val="center"/>
            <w:rPr>
              <w:rFonts w:ascii="Century Gothic" w:hAnsi="Century Gothic"/>
              <w:b/>
              <w:iCs/>
              <w:color w:val="000000"/>
              <w:spacing w:val="62"/>
              <w:sz w:val="40"/>
              <w:szCs w:val="40"/>
            </w:rPr>
          </w:pPr>
          <w:r>
            <w:rPr>
              <w:rFonts w:ascii="Century Gothic" w:hAnsi="Century Gothic"/>
              <w:b/>
              <w:iCs/>
              <w:color w:val="000000"/>
              <w:spacing w:val="62"/>
              <w:sz w:val="40"/>
              <w:szCs w:val="40"/>
            </w:rPr>
            <w:t>El Toro Water District</w:t>
          </w:r>
        </w:p>
        <w:p w:rsidR="00397ADD" w:rsidRDefault="00397ADD" w:rsidP="00F112A2">
          <w:pPr>
            <w:widowControl w:val="0"/>
            <w:jc w:val="center"/>
            <w:rPr>
              <w:rFonts w:ascii="Century Gothic" w:hAnsi="Century Gothic"/>
              <w:i/>
              <w:iCs/>
              <w:color w:val="000000"/>
              <w:spacing w:val="62"/>
              <w:sz w:val="20"/>
              <w:szCs w:val="20"/>
            </w:rPr>
          </w:pPr>
          <w:r>
            <w:rPr>
              <w:rFonts w:ascii="Century Gothic" w:hAnsi="Century Gothic"/>
              <w:i/>
              <w:iCs/>
              <w:color w:val="000000"/>
              <w:spacing w:val="62"/>
              <w:sz w:val="20"/>
              <w:szCs w:val="20"/>
            </w:rPr>
            <w:t>“A District of Distinction”</w:t>
          </w:r>
        </w:p>
        <w:p w:rsidR="00397ADD" w:rsidRDefault="00397ADD" w:rsidP="00F112A2">
          <w:pPr>
            <w:widowControl w:val="0"/>
            <w:jc w:val="center"/>
            <w:rPr>
              <w:rFonts w:ascii="Century Gothic" w:hAnsi="Century Gothic"/>
              <w:color w:val="000000"/>
              <w:spacing w:val="40"/>
              <w:sz w:val="20"/>
              <w:szCs w:val="20"/>
            </w:rPr>
          </w:pPr>
          <w:r>
            <w:rPr>
              <w:rFonts w:ascii="Century Gothic" w:hAnsi="Century Gothic"/>
              <w:color w:val="000000"/>
              <w:spacing w:val="40"/>
              <w:sz w:val="20"/>
              <w:szCs w:val="20"/>
            </w:rPr>
            <w:t>Serving the Public, Respecting the Environment</w:t>
          </w:r>
        </w:p>
        <w:p w:rsidR="00397ADD" w:rsidRDefault="00397ADD" w:rsidP="00F112A2">
          <w:pPr>
            <w:widowControl w:val="0"/>
            <w:jc w:val="center"/>
            <w:rPr>
              <w:rFonts w:ascii="Garamond" w:hAnsi="Garamond"/>
              <w:color w:val="000000"/>
              <w:sz w:val="20"/>
              <w:szCs w:val="20"/>
            </w:rPr>
          </w:pPr>
        </w:p>
        <w:p w:rsidR="00397ADD" w:rsidRDefault="00397ADD" w:rsidP="00F112A2">
          <w:pPr>
            <w:pStyle w:val="Header"/>
            <w:jc w:val="center"/>
          </w:pPr>
        </w:p>
      </w:tc>
    </w:tr>
  </w:tbl>
  <w:p w:rsidR="00397ADD" w:rsidRDefault="00397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7B" w:rsidRPr="008043CD" w:rsidRDefault="00C8217B">
    <w:pPr>
      <w:pStyle w:val="Header"/>
      <w:rPr>
        <w:rFonts w:ascii="Century Gothic" w:hAnsi="Century Gothic" w:cs="Arial"/>
      </w:rPr>
    </w:pPr>
    <w:r w:rsidRPr="008043CD">
      <w:rPr>
        <w:rFonts w:ascii="Century Gothic" w:hAnsi="Century Gothic" w:cs="Arial"/>
      </w:rPr>
      <w:t>El Toro Water District</w:t>
    </w:r>
  </w:p>
  <w:p w:rsidR="00C8217B" w:rsidRPr="008043CD" w:rsidRDefault="00C8217B">
    <w:pPr>
      <w:pStyle w:val="Header"/>
      <w:rPr>
        <w:rFonts w:ascii="Century Gothic" w:hAnsi="Century Gothic" w:cs="Arial"/>
      </w:rPr>
    </w:pPr>
    <w:r w:rsidRPr="008043CD">
      <w:rPr>
        <w:rFonts w:ascii="Century Gothic" w:hAnsi="Century Gothic" w:cs="Arial"/>
      </w:rPr>
      <w:t>Page 2</w:t>
    </w:r>
  </w:p>
  <w:p w:rsidR="00C8217B" w:rsidRDefault="00C8217B">
    <w:pPr>
      <w:pStyle w:val="Header"/>
      <w:rPr>
        <w:rFonts w:ascii="Arial" w:hAnsi="Arial" w:cs="Arial"/>
      </w:rPr>
    </w:pPr>
  </w:p>
  <w:p w:rsidR="00C8217B" w:rsidRPr="008043CD" w:rsidRDefault="00C8217B">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1818"/>
      <w:gridCol w:w="7758"/>
    </w:tblGrid>
    <w:tr w:rsidR="00C8217B" w:rsidTr="00F112A2">
      <w:trPr>
        <w:jc w:val="center"/>
      </w:trPr>
      <w:tc>
        <w:tcPr>
          <w:tcW w:w="1818" w:type="dxa"/>
        </w:tcPr>
        <w:p w:rsidR="00C8217B" w:rsidRDefault="00397ADD" w:rsidP="00F112A2">
          <w:pPr>
            <w:pStyle w:val="Header"/>
          </w:pPr>
          <w:r>
            <w:rPr>
              <w:noProof/>
            </w:rPr>
            <w:drawing>
              <wp:inline distT="0" distB="0" distL="0" distR="0">
                <wp:extent cx="906780" cy="815340"/>
                <wp:effectExtent l="19050" t="0" r="7620" b="0"/>
                <wp:docPr id="1" name="Picture 1" descr="ETWD_Log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WD_Logo_black copy"/>
                        <pic:cNvPicPr>
                          <a:picLocks noChangeAspect="1" noChangeArrowheads="1"/>
                        </pic:cNvPicPr>
                      </pic:nvPicPr>
                      <pic:blipFill>
                        <a:blip r:embed="rId1"/>
                        <a:srcRect/>
                        <a:stretch>
                          <a:fillRect/>
                        </a:stretch>
                      </pic:blipFill>
                      <pic:spPr bwMode="auto">
                        <a:xfrm>
                          <a:off x="0" y="0"/>
                          <a:ext cx="906780" cy="815340"/>
                        </a:xfrm>
                        <a:prstGeom prst="rect">
                          <a:avLst/>
                        </a:prstGeom>
                        <a:noFill/>
                        <a:ln w="9525">
                          <a:noFill/>
                          <a:miter lim="800000"/>
                          <a:headEnd/>
                          <a:tailEnd/>
                        </a:ln>
                      </pic:spPr>
                    </pic:pic>
                  </a:graphicData>
                </a:graphic>
              </wp:inline>
            </w:drawing>
          </w:r>
        </w:p>
      </w:tc>
      <w:tc>
        <w:tcPr>
          <w:tcW w:w="7758" w:type="dxa"/>
          <w:vAlign w:val="center"/>
        </w:tcPr>
        <w:p w:rsidR="00C8217B" w:rsidRDefault="00C8217B" w:rsidP="00F112A2">
          <w:pPr>
            <w:widowControl w:val="0"/>
            <w:jc w:val="center"/>
            <w:rPr>
              <w:rFonts w:ascii="Century Gothic" w:hAnsi="Century Gothic"/>
              <w:b/>
              <w:iCs/>
              <w:color w:val="000000"/>
              <w:spacing w:val="62"/>
              <w:sz w:val="40"/>
              <w:szCs w:val="40"/>
            </w:rPr>
          </w:pPr>
          <w:r>
            <w:rPr>
              <w:rFonts w:ascii="Century Gothic" w:hAnsi="Century Gothic"/>
              <w:b/>
              <w:iCs/>
              <w:color w:val="000000"/>
              <w:spacing w:val="62"/>
              <w:sz w:val="40"/>
              <w:szCs w:val="40"/>
            </w:rPr>
            <w:t>El Toro Water District</w:t>
          </w:r>
        </w:p>
        <w:p w:rsidR="00C8217B" w:rsidRDefault="00C8217B" w:rsidP="00F112A2">
          <w:pPr>
            <w:widowControl w:val="0"/>
            <w:jc w:val="center"/>
            <w:rPr>
              <w:rFonts w:ascii="Century Gothic" w:hAnsi="Century Gothic"/>
              <w:i/>
              <w:iCs/>
              <w:color w:val="000000"/>
              <w:spacing w:val="62"/>
              <w:sz w:val="20"/>
              <w:szCs w:val="20"/>
            </w:rPr>
          </w:pPr>
          <w:r>
            <w:rPr>
              <w:rFonts w:ascii="Century Gothic" w:hAnsi="Century Gothic"/>
              <w:i/>
              <w:iCs/>
              <w:color w:val="000000"/>
              <w:spacing w:val="62"/>
              <w:sz w:val="20"/>
              <w:szCs w:val="20"/>
            </w:rPr>
            <w:t>“A District of Distinction”</w:t>
          </w:r>
        </w:p>
        <w:p w:rsidR="00C8217B" w:rsidRDefault="00C8217B" w:rsidP="00F112A2">
          <w:pPr>
            <w:widowControl w:val="0"/>
            <w:jc w:val="center"/>
            <w:rPr>
              <w:rFonts w:ascii="Century Gothic" w:hAnsi="Century Gothic"/>
              <w:color w:val="000000"/>
              <w:spacing w:val="40"/>
              <w:sz w:val="20"/>
              <w:szCs w:val="20"/>
            </w:rPr>
          </w:pPr>
          <w:r>
            <w:rPr>
              <w:rFonts w:ascii="Century Gothic" w:hAnsi="Century Gothic"/>
              <w:color w:val="000000"/>
              <w:spacing w:val="40"/>
              <w:sz w:val="20"/>
              <w:szCs w:val="20"/>
            </w:rPr>
            <w:t>Serving the Public, Respecting the Environment</w:t>
          </w:r>
        </w:p>
        <w:p w:rsidR="00C8217B" w:rsidRDefault="00C8217B" w:rsidP="00F112A2">
          <w:pPr>
            <w:widowControl w:val="0"/>
            <w:jc w:val="center"/>
            <w:rPr>
              <w:rFonts w:ascii="Garamond" w:hAnsi="Garamond"/>
              <w:color w:val="000000"/>
              <w:sz w:val="20"/>
              <w:szCs w:val="20"/>
            </w:rPr>
          </w:pPr>
        </w:p>
        <w:p w:rsidR="00C8217B" w:rsidRDefault="00C8217B" w:rsidP="00F112A2">
          <w:pPr>
            <w:pStyle w:val="Header"/>
            <w:jc w:val="center"/>
          </w:pPr>
        </w:p>
      </w:tc>
    </w:tr>
  </w:tbl>
  <w:p w:rsidR="00C8217B" w:rsidRDefault="00C82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449"/>
    <o:shapelayout v:ext="edit">
      <o:rules v:ext="edit">
        <o:r id="V:Rule401" type="connector" idref="#_x0000_s2438"/>
        <o:r id="V:Rule402" type="connector" idref="#_x0000_s2353"/>
        <o:r id="V:Rule403" type="connector" idref="#_x0000_s2321"/>
        <o:r id="V:Rule404" type="connector" idref="#_x0000_s2346"/>
        <o:r id="V:Rule405" type="connector" idref="#_x0000_s2109"/>
        <o:r id="V:Rule406" type="connector" idref="#_x0000_s2245"/>
        <o:r id="V:Rule407" type="connector" idref="#_x0000_s2150"/>
        <o:r id="V:Rule408" type="connector" idref="#_x0000_s2269"/>
        <o:r id="V:Rule409" type="connector" idref="#_x0000_s2405"/>
        <o:r id="V:Rule410" type="connector" idref="#_x0000_s2198"/>
        <o:r id="V:Rule411" type="connector" idref="#_x0000_s2081"/>
        <o:r id="V:Rule412" type="connector" idref="#_x0000_s2377"/>
        <o:r id="V:Rule413" type="connector" idref="#_x0000_s2181"/>
        <o:r id="V:Rule414" type="connector" idref="#_x0000_s2098"/>
        <o:r id="V:Rule415" type="connector" idref="#_x0000_s2290"/>
        <o:r id="V:Rule416" type="connector" idref="#_x0000_s2382"/>
        <o:r id="V:Rule417" type="connector" idref="#_x0000_s2366"/>
        <o:r id="V:Rule418" type="connector" idref="#_x0000_s2145"/>
        <o:r id="V:Rule419" type="connector" idref="#_x0000_s2209"/>
        <o:r id="V:Rule420" type="connector" idref="#_x0000_s2414"/>
        <o:r id="V:Rule421" type="connector" idref="#_x0000_s2333"/>
        <o:r id="V:Rule422" type="connector" idref="#_x0000_s2258"/>
        <o:r id="V:Rule423" type="connector" idref="#_x0000_s2099"/>
        <o:r id="V:Rule424" type="connector" idref="#_x0000_s2180"/>
        <o:r id="V:Rule425" type="connector" idref="#_x0000_s2291"/>
        <o:r id="V:Rule426" type="connector" idref="#_x0000_s2383"/>
        <o:r id="V:Rule427" type="connector" idref="#_x0000_s2208"/>
        <o:r id="V:Rule428" type="connector" idref="#_x0000_s2367"/>
        <o:r id="V:Rule429" type="connector" idref="#_x0000_s2144"/>
        <o:r id="V:Rule430" type="connector" idref="#_x0000_s2415"/>
        <o:r id="V:Rule431" type="connector" idref="#_x0000_s2332"/>
        <o:r id="V:Rule432" type="connector" idref="#_x0000_s2259"/>
        <o:r id="V:Rule433" type="connector" idref="#_x0000_s2439"/>
        <o:r id="V:Rule434" type="connector" idref="#_x0000_s2352"/>
        <o:r id="V:Rule435" type="connector" idref="#_x0000_s2320"/>
        <o:r id="V:Rule436" type="connector" idref="#_x0000_s2244"/>
        <o:r id="V:Rule437" type="connector" idref="#_x0000_s2151"/>
        <o:r id="V:Rule438" type="connector" idref="#_x0000_s2347"/>
        <o:r id="V:Rule439" type="connector" idref="#_x0000_s2108"/>
        <o:r id="V:Rule440" type="connector" idref="#_x0000_s2049"/>
        <o:r id="V:Rule441" type="connector" idref="#_x0000_s2268"/>
        <o:r id="V:Rule442" type="connector" idref="#_x0000_s2404"/>
        <o:r id="V:Rule443" type="connector" idref="#_x0000_s2080"/>
        <o:r id="V:Rule444" type="connector" idref="#_x0000_s2376"/>
        <o:r id="V:Rule445" type="connector" idref="#_x0000_s2199"/>
        <o:r id="V:Rule446" type="connector" idref="#_x0000_s2289"/>
        <o:r id="V:Rule447" type="connector" idref="#_x0000_s2385"/>
        <o:r id="V:Rule448" type="connector" idref="#_x0000_s2101"/>
        <o:r id="V:Rule449" type="connector" idref="#_x0000_s2397"/>
        <o:r id="V:Rule450" type="connector" idref="#_x0000_s2178"/>
        <o:r id="V:Rule451" type="connector" idref="#_x0000_s2413"/>
        <o:r id="V:Rule452" type="connector" idref="#_x0000_s2334"/>
        <o:r id="V:Rule453" type="connector" idref="#_x0000_s2261"/>
        <o:r id="V:Rule454" type="connector" idref="#_x0000_s2237"/>
        <o:r id="V:Rule455" type="connector" idref="#_x0000_s2210"/>
        <o:r id="V:Rule456" type="connector" idref="#_x0000_s2142"/>
        <o:r id="V:Rule457" type="connector" idref="#_x0000_s2242"/>
        <o:r id="V:Rule458" type="connector" idref="#_x0000_s2149"/>
        <o:r id="V:Rule459" type="connector" idref="#_x0000_s2426"/>
        <o:r id="V:Rule460" type="connector" idref="#_x0000_s2110"/>
        <o:r id="V:Rule461" type="connector" idref="#_x0000_s2441"/>
        <o:r id="V:Rule462" type="connector" idref="#_x0000_s2354"/>
        <o:r id="V:Rule463" type="connector" idref="#_x0000_s2318"/>
        <o:r id="V:Rule464" type="connector" idref="#_x0000_s2137"/>
        <o:r id="V:Rule465" type="connector" idref="#_x0000_s2078"/>
        <o:r id="V:Rule466" type="connector" idref="#_x0000_s2201"/>
        <o:r id="V:Rule467" type="connector" idref="#_x0000_s2051"/>
        <o:r id="V:Rule468" type="connector" idref="#_x0000_s2270"/>
        <o:r id="V:Rule469" type="connector" idref="#_x0000_s2402"/>
        <o:r id="V:Rule470" type="connector" idref="#_x0000_s2427"/>
        <o:r id="V:Rule471" type="connector" idref="#_x0000_s2111"/>
        <o:r id="V:Rule472" type="connector" idref="#_x0000_s2243"/>
        <o:r id="V:Rule473" type="connector" idref="#_x0000_s2148"/>
        <o:r id="V:Rule474" type="connector" idref="#_x0000_s2440"/>
        <o:r id="V:Rule475" type="connector" idref="#_x0000_s2355"/>
        <o:r id="V:Rule476" type="connector" idref="#_x0000_s2319"/>
        <o:r id="V:Rule477" type="connector" idref="#_x0000_s2136"/>
        <o:r id="V:Rule478" type="connector" idref="#_x0000_s2200"/>
        <o:r id="V:Rule479" type="connector" idref="#_x0000_s2079"/>
        <o:r id="V:Rule480" type="connector" idref="#_x0000_s2271"/>
        <o:r id="V:Rule481" type="connector" idref="#_x0000_s2403"/>
        <o:r id="V:Rule482" type="connector" idref="#_x0000_s2050"/>
        <o:r id="V:Rule483" type="connector" idref="#_x0000_s2288"/>
        <o:r id="V:Rule484" type="connector" idref="#_x0000_s2384"/>
        <o:r id="V:Rule485" type="connector" idref="#_x0000_s2179"/>
        <o:r id="V:Rule486" type="connector" idref="#_x0000_s2100"/>
        <o:r id="V:Rule487" type="connector" idref="#_x0000_s2396"/>
        <o:r id="V:Rule488" type="connector" idref="#_x0000_s2236"/>
        <o:r id="V:Rule489" type="connector" idref="#_x0000_s2412"/>
        <o:r id="V:Rule490" type="connector" idref="#_x0000_s2335"/>
        <o:r id="V:Rule491" type="connector" idref="#_x0000_s2260"/>
        <o:r id="V:Rule492" type="connector" idref="#_x0000_s2143"/>
        <o:r id="V:Rule493" type="connector" idref="#_x0000_s2211"/>
        <o:r id="V:Rule494" type="connector" idref="#_x0000_s2409"/>
        <o:r id="V:Rule495" type="connector" idref="#_x0000_s2265"/>
        <o:r id="V:Rule496" type="connector" idref="#_x0000_s2330"/>
        <o:r id="V:Rule497" type="connector" idref="#_x0000_s2166"/>
        <o:r id="V:Rule498" type="connector" idref="#_x0000_s2214"/>
        <o:r id="V:Rule499" type="connector" idref="#_x0000_s2138"/>
        <o:r id="V:Rule500" type="connector" idref="#_x0000_s2317"/>
        <o:r id="V:Rule501" type="connector" idref="#_x0000_s2077"/>
        <o:r id="V:Rule502" type="connector" idref="#_x0000_s2293"/>
        <o:r id="V:Rule503" type="connector" idref="#_x0000_s2381"/>
        <o:r id="V:Rule504" type="connector" idref="#_x0000_s2105"/>
        <o:r id="V:Rule505" type="connector" idref="#_x0000_s2182"/>
        <o:r id="V:Rule506" type="connector" idref="#_x0000_s2306"/>
        <o:r id="V:Rule507" type="connector" idref="#_x0000_s2082"/>
        <o:r id="V:Rule508" type="connector" idref="#_x0000_s2205"/>
        <o:r id="V:Rule509" type="connector" idref="#_x0000_s2177"/>
        <o:r id="V:Rule510" type="connector" idref="#_x0000_s2055"/>
        <o:r id="V:Rule511" type="connector" idref="#_x0000_s2274"/>
        <o:r id="V:Rule512" type="connector" idref="#_x0000_s2398"/>
        <o:r id="V:Rule513" type="connector" idref="#_x0000_s2153"/>
        <o:r id="V:Rule514" type="connector" idref="#_x0000_s2238"/>
        <o:r id="V:Rule515" type="connector" idref="#_x0000_s2114"/>
        <o:r id="V:Rule516" type="connector" idref="#_x0000_s2350"/>
        <o:r id="V:Rule517" type="connector" idref="#_x0000_s2445"/>
        <o:r id="V:Rule518" type="connector" idref="#_x0000_s2066"/>
        <o:r id="V:Rule519" type="connector" idref="#_x0000_s2322"/>
        <o:r id="V:Rule520" type="connector" idref="#_x0000_s2204"/>
        <o:r id="V:Rule521" type="connector" idref="#_x0000_s2083"/>
        <o:r id="V:Rule522" type="connector" idref="#_x0000_s2307"/>
        <o:r id="V:Rule523" type="connector" idref="#_x0000_s2275"/>
        <o:r id="V:Rule524" type="connector" idref="#_x0000_s2399"/>
        <o:r id="V:Rule525" type="connector" idref="#_x0000_s2176"/>
        <o:r id="V:Rule526" type="connector" idref="#_x0000_s2054"/>
        <o:r id="V:Rule527" type="connector" idref="#_x0000_s2115"/>
        <o:r id="V:Rule528" type="connector" idref="#_x0000_s2152"/>
        <o:r id="V:Rule529" type="connector" idref="#_x0000_s2239"/>
        <o:r id="V:Rule530" type="connector" idref="#_x0000_s2351"/>
        <o:r id="V:Rule531" type="connector" idref="#_x0000_s2444"/>
        <o:r id="V:Rule532" type="connector" idref="#_x0000_s2323"/>
        <o:r id="V:Rule533" type="connector" idref="#_x0000_s2067"/>
        <o:r id="V:Rule534" type="connector" idref="#_x0000_s2167"/>
        <o:r id="V:Rule535" type="connector" idref="#_x0000_s2408"/>
        <o:r id="V:Rule536" type="connector" idref="#_x0000_s2264"/>
        <o:r id="V:Rule537" type="connector" idref="#_x0000_s2331"/>
        <o:r id="V:Rule538" type="connector" idref="#_x0000_s2139"/>
        <o:r id="V:Rule539" type="connector" idref="#_x0000_s2316"/>
        <o:r id="V:Rule540" type="connector" idref="#_x0000_s2215"/>
        <o:r id="V:Rule541" type="connector" idref="#_x0000_s2292"/>
        <o:r id="V:Rule542" type="connector" idref="#_x0000_s2076"/>
        <o:r id="V:Rule543" type="connector" idref="#_x0000_s2380"/>
        <o:r id="V:Rule544" type="connector" idref="#_x0000_s2183"/>
        <o:r id="V:Rule545" type="connector" idref="#_x0000_s2104"/>
        <o:r id="V:Rule546" type="connector" idref="#_x0000_s2097"/>
        <o:r id="V:Rule547" type="connector" idref="#_x0000_s2273"/>
        <o:r id="V:Rule548" type="connector" idref="#_x0000_s2401"/>
        <o:r id="V:Rule549" type="connector" idref="#_x0000_s2448"/>
        <o:r id="V:Rule550" type="connector" idref="#_x0000_s2052"/>
        <o:r id="V:Rule551" type="connector" idref="#_x0000_s2202"/>
        <o:r id="V:Rule552" type="connector" idref="#_x0000_s2085"/>
        <o:r id="V:Rule553" type="connector" idref="#_x0000_s2226"/>
        <o:r id="V:Rule554" type="connector" idref="#_x0000_s2349"/>
        <o:r id="V:Rule555" type="connector" idref="#_x0000_s2442"/>
        <o:r id="V:Rule556" type="connector" idref="#_x0000_s2325"/>
        <o:r id="V:Rule557" type="connector" idref="#_x0000_s2257"/>
        <o:r id="V:Rule558" type="connector" idref="#_x0000_s2113"/>
        <o:r id="V:Rule559" type="connector" idref="#_x0000_s2154"/>
        <o:r id="V:Rule560" type="connector" idref="#_x0000_s2241"/>
        <o:r id="V:Rule561" type="connector" idref="#_x0000_s2437"/>
        <o:r id="V:Rule562" type="connector" idref="#_x0000_s2141"/>
        <o:r id="V:Rule563" type="connector" idref="#_x0000_s2213"/>
        <o:r id="V:Rule564" type="connector" idref="#_x0000_s2410"/>
        <o:r id="V:Rule565" type="connector" idref="#_x0000_s2126"/>
        <o:r id="V:Rule566" type="connector" idref="#_x0000_s2262"/>
        <o:r id="V:Rule567" type="connector" idref="#_x0000_s2329"/>
        <o:r id="V:Rule568" type="connector" idref="#_x0000_s2185"/>
        <o:r id="V:Rule569" type="connector" idref="#_x0000_s2286"/>
        <o:r id="V:Rule570" type="connector" idref="#_x0000_s2102"/>
        <o:r id="V:Rule571" type="connector" idref="#_x0000_s2294"/>
        <o:r id="V:Rule572" type="connector" idref="#_x0000_s2378"/>
        <o:r id="V:Rule573" type="connector" idref="#_x0000_s2197"/>
        <o:r id="V:Rule574" type="connector" idref="#_x0000_s2212"/>
        <o:r id="V:Rule575" type="connector" idref="#_x0000_s2436"/>
        <o:r id="V:Rule576" type="connector" idref="#_x0000_s2140"/>
        <o:r id="V:Rule577" type="connector" idref="#_x0000_s2411"/>
        <o:r id="V:Rule578" type="connector" idref="#_x0000_s2263"/>
        <o:r id="V:Rule579" type="connector" idref="#_x0000_s2127"/>
        <o:r id="V:Rule580" type="connector" idref="#_x0000_s2328"/>
        <o:r id="V:Rule581" type="connector" idref="#_x0000_s2103"/>
        <o:r id="V:Rule582" type="connector" idref="#_x0000_s2287"/>
        <o:r id="V:Rule583" type="connector" idref="#_x0000_s2184"/>
        <o:r id="V:Rule584" type="connector" idref="#_x0000_s2196"/>
        <o:r id="V:Rule585" type="connector" idref="#_x0000_s2295"/>
        <o:r id="V:Rule586" type="connector" idref="#_x0000_s2379"/>
        <o:r id="V:Rule587" type="connector" idref="#_x0000_s2053"/>
        <o:r id="V:Rule588" type="connector" idref="#_x0000_s2272"/>
        <o:r id="V:Rule589" type="connector" idref="#_x0000_s2096"/>
        <o:r id="V:Rule590" type="connector" idref="#_x0000_s2400"/>
        <o:r id="V:Rule591" type="connector" idref="#_x0000_s2084"/>
        <o:r id="V:Rule592" type="connector" idref="#_x0000_s2203"/>
        <o:r id="V:Rule593" type="connector" idref="#_x0000_s2348"/>
        <o:r id="V:Rule594" type="connector" idref="#_x0000_s2443"/>
        <o:r id="V:Rule595" type="connector" idref="#_x0000_s2324"/>
        <o:r id="V:Rule596" type="connector" idref="#_x0000_s2227"/>
        <o:r id="V:Rule597" type="connector" idref="#_x0000_s2155"/>
        <o:r id="V:Rule598" type="connector" idref="#_x0000_s2240"/>
        <o:r id="V:Rule599" type="connector" idref="#_x0000_s2112"/>
        <o:r id="V:Rule600" type="connector" idref="#_x0000_s2256"/>
        <o:r id="V:Rule601" type="connector" idref="#_x0000_s2374"/>
        <o:r id="V:Rule602" type="connector" idref="#_x0000_s2298"/>
        <o:r id="V:Rule603" type="connector" idref="#_x0000_s2169"/>
        <o:r id="V:Rule604" type="connector" idref="#_x0000_s2406"/>
        <o:r id="V:Rule605" type="connector" idref="#_x0000_s2090"/>
        <o:r id="V:Rule606" type="connector" idref="#_x0000_s2246"/>
        <o:r id="V:Rule607" type="connector" idref="#_x0000_s2345"/>
        <o:r id="V:Rule608" type="connector" idref="#_x0000_s2250"/>
        <o:r id="V:Rule609" type="connector" idref="#_x0000_s2422"/>
        <o:r id="V:Rule610" type="connector" idref="#_x0000_s2058"/>
        <o:r id="V:Rule611" type="connector" idref="#_x0000_s2133"/>
        <o:r id="V:Rule612" type="connector" idref="#_x0000_s2221"/>
        <o:r id="V:Rule613" type="connector" idref="#_x0000_s2121"/>
        <o:r id="V:Rule614" type="connector" idref="#_x0000_s2417"/>
        <o:r id="V:Rule615" type="connector" idref="#_x0000_s2233"/>
        <o:r id="V:Rule616" type="connector" idref="#_x0000_s2158"/>
        <o:r id="V:Rule617" type="connector" idref="#_x0000_s2309"/>
        <o:r id="V:Rule618" type="connector" idref="#_x0000_s2146"/>
        <o:r id="V:Rule619" type="connector" idref="#_x0000_s2430"/>
        <o:r id="V:Rule620" type="connector" idref="#_x0000_s2365"/>
        <o:r id="V:Rule621" type="connector" idref="#_x0000_s2190"/>
        <o:r id="V:Rule622" type="connector" idref="#_x0000_s2069"/>
        <o:r id="V:Rule623" type="connector" idref="#_x0000_s2393"/>
        <o:r id="V:Rule624" type="connector" idref="#_x0000_s2281"/>
        <o:r id="V:Rule625" type="connector" idref="#_x0000_s2232"/>
        <o:r id="V:Rule626" type="connector" idref="#_x0000_s2159"/>
        <o:r id="V:Rule627" type="connector" idref="#_x0000_s2120"/>
        <o:r id="V:Rule628" type="connector" idref="#_x0000_s2416"/>
        <o:r id="V:Rule629" type="connector" idref="#_x0000_s2308"/>
        <o:r id="V:Rule630" type="connector" idref="#_x0000_s2147"/>
        <o:r id="V:Rule631" type="connector" idref="#_x0000_s2431"/>
        <o:r id="V:Rule632" type="connector" idref="#_x0000_s2364"/>
        <o:r id="V:Rule633" type="connector" idref="#_x0000_s2068"/>
        <o:r id="V:Rule634" type="connector" idref="#_x0000_s2191"/>
        <o:r id="V:Rule635" type="connector" idref="#_x0000_s2392"/>
        <o:r id="V:Rule636" type="connector" idref="#_x0000_s2280"/>
        <o:r id="V:Rule637" type="connector" idref="#_x0000_s2375"/>
        <o:r id="V:Rule638" type="connector" idref="#_x0000_s2299"/>
        <o:r id="V:Rule639" type="connector" idref="#_x0000_s2407"/>
        <o:r id="V:Rule640" type="connector" idref="#_x0000_s2091"/>
        <o:r id="V:Rule641" type="connector" idref="#_x0000_s2168"/>
        <o:r id="V:Rule642" type="connector" idref="#_x0000_s2344"/>
        <o:r id="V:Rule643" type="connector" idref="#_x0000_s2251"/>
        <o:r id="V:Rule644" type="connector" idref="#_x0000_s2423"/>
        <o:r id="V:Rule645" type="connector" idref="#_x0000_s2247"/>
        <o:r id="V:Rule646" type="connector" idref="#_x0000_s2220"/>
        <o:r id="V:Rule647" type="connector" idref="#_x0000_s2059"/>
        <o:r id="V:Rule648" type="connector" idref="#_x0000_s2132"/>
        <o:r id="V:Rule649" type="connector" idref="#_x0000_s2310"/>
        <o:r id="V:Rule650" type="connector" idref="#_x0000_s2429"/>
        <o:r id="V:Rule651" type="connector" idref="#_x0000_s2362"/>
        <o:r id="V:Rule652" type="connector" idref="#_x0000_s2234"/>
        <o:r id="V:Rule653" type="connector" idref="#_x0000_s2161"/>
        <o:r id="V:Rule654" type="connector" idref="#_x0000_s2337"/>
        <o:r id="V:Rule655" type="connector" idref="#_x0000_s2118"/>
        <o:r id="V:Rule656" type="connector" idref="#_x0000_s2394"/>
        <o:r id="V:Rule657" type="connector" idref="#_x0000_s2278"/>
        <o:r id="V:Rule658" type="connector" idref="#_x0000_s2386"/>
        <o:r id="V:Rule659" type="connector" idref="#_x0000_s2070"/>
        <o:r id="V:Rule660" type="connector" idref="#_x0000_s2189"/>
        <o:r id="V:Rule661" type="connector" idref="#_x0000_s2089"/>
        <o:r id="V:Rule662" type="connector" idref="#_x0000_s2170"/>
        <o:r id="V:Rule663" type="connector" idref="#_x0000_s2373"/>
        <o:r id="V:Rule664" type="connector" idref="#_x0000_s2301"/>
        <o:r id="V:Rule665" type="connector" idref="#_x0000_s2218"/>
        <o:r id="V:Rule666" type="connector" idref="#_x0000_s2061"/>
        <o:r id="V:Rule667" type="connector" idref="#_x0000_s2134"/>
        <o:r id="V:Rule668" type="connector" idref="#_x0000_s2357"/>
        <o:r id="V:Rule669" type="connector" idref="#_x0000_s2342"/>
        <o:r id="V:Rule670" type="connector" idref="#_x0000_s2249"/>
        <o:r id="V:Rule671" type="connector" idref="#_x0000_s2425"/>
        <o:r id="V:Rule672" type="connector" idref="#_x0000_s2171"/>
        <o:r id="V:Rule673" type="connector" idref="#_x0000_s2088"/>
        <o:r id="V:Rule674" type="connector" idref="#_x0000_s2372"/>
        <o:r id="V:Rule675" type="connector" idref="#_x0000_s2300"/>
        <o:r id="V:Rule676" type="connector" idref="#_x0000_s2060"/>
        <o:r id="V:Rule677" type="connector" idref="#_x0000_s2135"/>
        <o:r id="V:Rule678" type="connector" idref="#_x0000_s2356"/>
        <o:r id="V:Rule679" type="connector" idref="#_x0000_s2219"/>
        <o:r id="V:Rule680" type="connector" idref="#_x0000_s2343"/>
        <o:r id="V:Rule681" type="connector" idref="#_x0000_s2248"/>
        <o:r id="V:Rule682" type="connector" idref="#_x0000_s2424"/>
        <o:r id="V:Rule683" type="connector" idref="#_x0000_s2311"/>
        <o:r id="V:Rule684" type="connector" idref="#_x0000_s2428"/>
        <o:r id="V:Rule685" type="connector" idref="#_x0000_s2363"/>
        <o:r id="V:Rule686" type="connector" idref="#_x0000_s2336"/>
        <o:r id="V:Rule687" type="connector" idref="#_x0000_s2119"/>
        <o:r id="V:Rule688" type="connector" idref="#_x0000_s2235"/>
        <o:r id="V:Rule689" type="connector" idref="#_x0000_s2160"/>
        <o:r id="V:Rule690" type="connector" idref="#_x0000_s2395"/>
        <o:r id="V:Rule691" type="connector" idref="#_x0000_s2279"/>
        <o:r id="V:Rule692" type="connector" idref="#_x0000_s2188"/>
        <o:r id="V:Rule693" type="connector" idref="#_x0000_s2387"/>
        <o:r id="V:Rule694" type="connector" idref="#_x0000_s2071"/>
        <o:r id="V:Rule695" type="connector" idref="#_x0000_s2390"/>
        <o:r id="V:Rule696" type="connector" idref="#_x0000_s2106"/>
        <o:r id="V:Rule697" type="connector" idref="#_x0000_s2282"/>
        <o:r id="V:Rule698" type="connector" idref="#_x0000_s2074"/>
        <o:r id="V:Rule699" type="connector" idref="#_x0000_s2193"/>
        <o:r id="V:Rule700" type="connector" idref="#_x0000_s2314"/>
        <o:r id="V:Rule701" type="connector" idref="#_x0000_s2358"/>
        <o:r id="V:Rule702" type="connector" idref="#_x0000_s2433"/>
        <o:r id="V:Rule703" type="connector" idref="#_x0000_s2217"/>
        <o:r id="V:Rule704" type="connector" idref="#_x0000_s2165"/>
        <o:r id="V:Rule705" type="connector" idref="#_x0000_s2230"/>
        <o:r id="V:Rule706" type="connector" idref="#_x0000_s2266"/>
        <o:r id="V:Rule707" type="connector" idref="#_x0000_s2122"/>
        <o:r id="V:Rule708" type="connector" idref="#_x0000_s2222"/>
        <o:r id="V:Rule709" type="connector" idref="#_x0000_s2130"/>
        <o:r id="V:Rule710" type="connector" idref="#_x0000_s2065"/>
        <o:r id="V:Rule711" type="connector" idref="#_x0000_s2446"/>
        <o:r id="V:Rule712" type="connector" idref="#_x0000_s2117"/>
        <o:r id="V:Rule713" type="connector" idref="#_x0000_s2253"/>
        <o:r id="V:Rule714" type="connector" idref="#_x0000_s2338"/>
        <o:r id="V:Rule715" type="connector" idref="#_x0000_s2421"/>
        <o:r id="V:Rule716" type="connector" idref="#_x0000_s2277"/>
        <o:r id="V:Rule717" type="connector" idref="#_x0000_s2093"/>
        <o:r id="V:Rule718" type="connector" idref="#_x0000_s2056"/>
        <o:r id="V:Rule719" type="connector" idref="#_x0000_s2174"/>
        <o:r id="V:Rule720" type="connector" idref="#_x0000_s2206"/>
        <o:r id="V:Rule721" type="connector" idref="#_x0000_s2369"/>
        <o:r id="V:Rule722" type="connector" idref="#_x0000_s2305"/>
        <o:r id="V:Rule723" type="connector" idref="#_x0000_s2131"/>
        <o:r id="V:Rule724" type="connector" idref="#_x0000_s2064"/>
        <o:r id="V:Rule725" type="connector" idref="#_x0000_s2447"/>
        <o:r id="V:Rule726" type="connector" idref="#_x0000_s2223"/>
        <o:r id="V:Rule727" type="connector" idref="#_x0000_s2252"/>
        <o:r id="V:Rule728" type="connector" idref="#_x0000_s2116"/>
        <o:r id="V:Rule729" type="connector" idref="#_x0000_s2339"/>
        <o:r id="V:Rule730" type="connector" idref="#_x0000_s2420"/>
        <o:r id="V:Rule731" type="connector" idref="#_x0000_s2057"/>
        <o:r id="V:Rule732" type="connector" idref="#_x0000_s2175"/>
        <o:r id="V:Rule733" type="connector" idref="#_x0000_s2092"/>
        <o:r id="V:Rule734" type="connector" idref="#_x0000_s2276"/>
        <o:r id="V:Rule735" type="connector" idref="#_x0000_s2368"/>
        <o:r id="V:Rule736" type="connector" idref="#_x0000_s2304"/>
        <o:r id="V:Rule737" type="connector" idref="#_x0000_s2207"/>
        <o:r id="V:Rule738" type="connector" idref="#_x0000_s2391"/>
        <o:r id="V:Rule739" type="connector" idref="#_x0000_s2283"/>
        <o:r id="V:Rule740" type="connector" idref="#_x0000_s2107"/>
        <o:r id="V:Rule741" type="connector" idref="#_x0000_s2192"/>
        <o:r id="V:Rule742" type="connector" idref="#_x0000_s2075"/>
        <o:r id="V:Rule743" type="connector" idref="#_x0000_s2216"/>
        <o:r id="V:Rule744" type="connector" idref="#_x0000_s2315"/>
        <o:r id="V:Rule745" type="connector" idref="#_x0000_s2359"/>
        <o:r id="V:Rule746" type="connector" idref="#_x0000_s2432"/>
        <o:r id="V:Rule747" type="connector" idref="#_x0000_s2123"/>
        <o:r id="V:Rule748" type="connector" idref="#_x0000_s2267"/>
        <o:r id="V:Rule749" type="connector" idref="#_x0000_s2164"/>
        <o:r id="V:Rule750" type="connector" idref="#_x0000_s2231"/>
        <o:r id="V:Rule751" type="connector" idref="#_x0000_s2157"/>
        <o:r id="V:Rule752" type="connector" idref="#_x0000_s2254"/>
        <o:r id="V:Rule753" type="connector" idref="#_x0000_s2341"/>
        <o:r id="V:Rule754" type="connector" idref="#_x0000_s2418"/>
        <o:r id="V:Rule755" type="connector" idref="#_x0000_s2129"/>
        <o:r id="V:Rule756" type="connector" idref="#_x0000_s2326"/>
        <o:r id="V:Rule757" type="connector" idref="#_x0000_s2062"/>
        <o:r id="V:Rule758" type="connector" idref="#_x0000_s2225"/>
        <o:r id="V:Rule759" type="connector" idref="#_x0000_s2370"/>
        <o:r id="V:Rule760" type="connector" idref="#_x0000_s2086"/>
        <o:r id="V:Rule761" type="connector" idref="#_x0000_s2302"/>
        <o:r id="V:Rule762" type="connector" idref="#_x0000_s2173"/>
        <o:r id="V:Rule763" type="connector" idref="#_x0000_s2094"/>
        <o:r id="V:Rule764" type="connector" idref="#_x0000_s2194"/>
        <o:r id="V:Rule765" type="connector" idref="#_x0000_s2297"/>
        <o:r id="V:Rule766" type="connector" idref="#_x0000_s2073"/>
        <o:r id="V:Rule767" type="connector" idref="#_x0000_s2389"/>
        <o:r id="V:Rule768" type="connector" idref="#_x0000_s2285"/>
        <o:r id="V:Rule769" type="connector" idref="#_x0000_s2186"/>
        <o:r id="V:Rule770" type="connector" idref="#_x0000_s2125"/>
        <o:r id="V:Rule771" type="connector" idref="#_x0000_s2162"/>
        <o:r id="V:Rule772" type="connector" idref="#_x0000_s2229"/>
        <o:r id="V:Rule773" type="connector" idref="#_x0000_s2313"/>
        <o:r id="V:Rule774" type="connector" idref="#_x0000_s2361"/>
        <o:r id="V:Rule775" type="connector" idref="#_x0000_s2434"/>
        <o:r id="V:Rule776" type="connector" idref="#_x0000_s2072"/>
        <o:r id="V:Rule777" type="connector" idref="#_x0000_s2296"/>
        <o:r id="V:Rule778" type="connector" idref="#_x0000_s2195"/>
        <o:r id="V:Rule779" type="connector" idref="#_x0000_s2187"/>
        <o:r id="V:Rule780" type="connector" idref="#_x0000_s2388"/>
        <o:r id="V:Rule781" type="connector" idref="#_x0000_s2284"/>
        <o:r id="V:Rule782" type="connector" idref="#_x0000_s2163"/>
        <o:r id="V:Rule783" type="connector" idref="#_x0000_s2228"/>
        <o:r id="V:Rule784" type="connector" idref="#_x0000_s2124"/>
        <o:r id="V:Rule785" type="connector" idref="#_x0000_s2312"/>
        <o:r id="V:Rule786" type="connector" idref="#_x0000_s2360"/>
        <o:r id="V:Rule787" type="connector" idref="#_x0000_s2435"/>
        <o:r id="V:Rule788" type="connector" idref="#_x0000_s2255"/>
        <o:r id="V:Rule789" type="connector" idref="#_x0000_s2340"/>
        <o:r id="V:Rule790" type="connector" idref="#_x0000_s2419"/>
        <o:r id="V:Rule791" type="connector" idref="#_x0000_s2156"/>
        <o:r id="V:Rule792" type="connector" idref="#_x0000_s2224"/>
        <o:r id="V:Rule793" type="connector" idref="#_x0000_s2128"/>
        <o:r id="V:Rule794" type="connector" idref="#_x0000_s2063"/>
        <o:r id="V:Rule795" type="connector" idref="#_x0000_s2327"/>
        <o:r id="V:Rule796" type="connector" idref="#_x0000_s2371"/>
        <o:r id="V:Rule797" type="connector" idref="#_x0000_s2303"/>
        <o:r id="V:Rule798" type="connector" idref="#_x0000_s2087"/>
        <o:r id="V:Rule799" type="connector" idref="#_x0000_s2095"/>
        <o:r id="V:Rule800" type="connector" idref="#_x0000_s2172"/>
      </o:rules>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CD"/>
    <w:rsid w:val="00037519"/>
    <w:rsid w:val="000E22D5"/>
    <w:rsid w:val="001B53B4"/>
    <w:rsid w:val="001D211C"/>
    <w:rsid w:val="00286197"/>
    <w:rsid w:val="00397ADD"/>
    <w:rsid w:val="003E36AA"/>
    <w:rsid w:val="004D29A2"/>
    <w:rsid w:val="00730189"/>
    <w:rsid w:val="007A6104"/>
    <w:rsid w:val="008043CD"/>
    <w:rsid w:val="008863B9"/>
    <w:rsid w:val="00A30A7E"/>
    <w:rsid w:val="00C07CE4"/>
    <w:rsid w:val="00C8217B"/>
    <w:rsid w:val="00CC4FCE"/>
    <w:rsid w:val="00EF49A1"/>
    <w:rsid w:val="00F1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9"/>
    <o:shapelayout v:ext="edit">
      <o:idmap v:ext="edit" data="1"/>
    </o:shapelayout>
  </w:shapeDefaults>
  <w:decimalSymbol w:val="."/>
  <w:listSeparator w:val=","/>
  <w15:docId w15:val="{91BFFEC7-3C47-46F9-9CC7-15CFD6DB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Hyperlink">
    <w:name w:val="Hyperlink"/>
    <w:basedOn w:val="DefaultParagraphFont"/>
    <w:rPr>
      <w:color w:val="0000FF"/>
      <w:u w:val="single"/>
    </w:rPr>
  </w:style>
  <w:style w:type="character" w:customStyle="1" w:styleId="CharChar">
    <w:name w:val="Char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suppressAutoHyphens w:val="0"/>
    </w:pPr>
    <w:rPr>
      <w:lang w:eastAsia="en-US"/>
    </w:r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8043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twd.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December 23, 2009</vt:lpstr>
    </vt:vector>
  </TitlesOfParts>
  <Company>Keena•Thomas Communications</Company>
  <LinksUpToDate>false</LinksUpToDate>
  <CharactersWithSpaces>2374</CharactersWithSpaces>
  <SharedDoc>false</SharedDoc>
  <HLinks>
    <vt:vector size="6" baseType="variant">
      <vt:variant>
        <vt:i4>5701710</vt:i4>
      </vt:variant>
      <vt:variant>
        <vt:i4>33</vt:i4>
      </vt:variant>
      <vt:variant>
        <vt:i4>0</vt:i4>
      </vt:variant>
      <vt:variant>
        <vt:i4>5</vt:i4>
      </vt:variant>
      <vt:variant>
        <vt:lpwstr>http://www.etwd.com/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23, 2009</dc:title>
  <dc:subject/>
  <dc:creator>Carrie Arneth Miller</dc:creator>
  <cp:keywords/>
  <cp:lastModifiedBy>Martin McIntosh</cp:lastModifiedBy>
  <cp:revision>2</cp:revision>
  <cp:lastPrinted>2010-07-21T19:07:00Z</cp:lastPrinted>
  <dcterms:created xsi:type="dcterms:W3CDTF">2016-03-08T00:41:00Z</dcterms:created>
  <dcterms:modified xsi:type="dcterms:W3CDTF">2016-03-08T00:41:00Z</dcterms:modified>
</cp:coreProperties>
</file>